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64"/>
        <w:rPr/>
      </w:pPr>
      <w:r>
        <w:rPr>
          <w:b/>
          <w:bCs/>
          <w:color w:val="000000"/>
          <w:sz w:val="22"/>
          <w:szCs w:val="22"/>
        </w:rPr>
        <w:t>Título</w:t>
      </w:r>
      <w:r>
        <w:rPr>
          <w:color w:val="000000"/>
          <w:sz w:val="22"/>
          <w:szCs w:val="22"/>
        </w:rPr>
        <w:t xml:space="preserve"> de la práctica educativa: </w:t>
      </w:r>
      <w:r>
        <w:rPr>
          <w:color w:val="000000"/>
          <w:sz w:val="22"/>
          <w:szCs w:val="22"/>
        </w:rPr>
        <w:t>Retar a los grupos marcados a través de proyectos: Fieles y traidores.</w:t>
      </w:r>
    </w:p>
    <w:p>
      <w:pPr>
        <w:pStyle w:val="Standard"/>
        <w:spacing w:lineRule="auto" w:line="264"/>
        <w:rPr/>
      </w:pPr>
      <w:r>
        <w:rPr>
          <w:b/>
          <w:bCs/>
          <w:color w:val="000000"/>
          <w:sz w:val="22"/>
          <w:szCs w:val="22"/>
        </w:rPr>
        <w:t>Profesor/es participante/s</w:t>
      </w:r>
      <w:r>
        <w:rPr>
          <w:color w:val="000000"/>
          <w:sz w:val="22"/>
          <w:szCs w:val="22"/>
        </w:rPr>
        <w:t xml:space="preserve"> en la Jornada: </w:t>
      </w:r>
      <w:r>
        <w:rPr>
          <w:color w:val="000000"/>
          <w:sz w:val="22"/>
          <w:szCs w:val="22"/>
        </w:rPr>
        <w:t>Alfredo Serrano de Haro Martínez</w:t>
      </w:r>
    </w:p>
    <w:p>
      <w:pPr>
        <w:pStyle w:val="Standard"/>
        <w:spacing w:lineRule="auto" w:line="264"/>
        <w:rPr/>
      </w:pPr>
      <w:r>
        <w:rPr>
          <w:color w:val="000000"/>
          <w:sz w:val="22"/>
          <w:szCs w:val="22"/>
        </w:rPr>
        <w:t xml:space="preserve">Centro educativo (opcional):  </w:t>
      </w:r>
      <w:r>
        <w:rPr>
          <w:color w:val="000000"/>
          <w:sz w:val="22"/>
          <w:szCs w:val="22"/>
        </w:rPr>
        <w:t>IES El Escorial</w:t>
      </w:r>
    </w:p>
    <w:p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lineRule="auto" w:line="264" w:before="24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Resumen</w:t>
      </w:r>
    </w:p>
    <w:p>
      <w:pPr>
        <w:pStyle w:val="Standard"/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Los grupos marcados (PMAR, Compensatoria…) suelen reunir a alumnado con un bajo autoconcepto académico. El ABP permite retarles a mejorar esa autoconciencia, sobre todo por su componente de participación y de difusión. </w:t>
      </w:r>
    </w:p>
    <w:p>
      <w:pPr>
        <w:pStyle w:val="Standard"/>
        <w:numPr>
          <w:ilvl w:val="0"/>
          <w:numId w:val="1"/>
        </w:numPr>
        <w:spacing w:lineRule="auto" w:line="264"/>
        <w:rPr/>
      </w:pPr>
      <w:r>
        <w:rPr>
          <w:color w:val="000000"/>
          <w:sz w:val="21"/>
          <w:szCs w:val="21"/>
        </w:rPr>
        <w:t xml:space="preserve">Palabras clave (de 3 a 5 palabras). </w:t>
      </w:r>
      <w:r>
        <w:rPr>
          <w:color w:val="000000"/>
          <w:sz w:val="21"/>
          <w:szCs w:val="21"/>
        </w:rPr>
        <w:t>Grupos específicos, ABP, autoconcepto académico.</w:t>
      </w:r>
    </w:p>
    <w:p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lineRule="auto" w:line="264" w:before="24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Cuestión educativa a resolver</w:t>
      </w:r>
    </w:p>
    <w:p>
      <w:pPr>
        <w:pStyle w:val="Standard"/>
        <w:spacing w:lineRule="auto" w:line="264"/>
        <w:rPr>
          <w:i/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¿Por qué?</w:t>
      </w:r>
    </w:p>
    <w:p>
      <w:pPr>
        <w:pStyle w:val="Standard"/>
        <w:numPr>
          <w:ilvl w:val="0"/>
          <w:numId w:val="2"/>
        </w:numPr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Diagnóstico inicial necesidades detectadas en el aula (alumnos y docente) o el centro.</w:t>
      </w:r>
    </w:p>
    <w:p>
      <w:pPr>
        <w:pStyle w:val="Standard"/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comenzar el curso pasado como profesor de Ámbito Lingúístico-Social de un grupo de 3ºPMAR, percibo nada más empezar los siguientes componentes:</w:t>
      </w:r>
    </w:p>
    <w:p>
      <w:pPr>
        <w:pStyle w:val="Standard"/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>
        <w:rPr>
          <w:color w:val="000000"/>
          <w:sz w:val="21"/>
          <w:szCs w:val="21"/>
        </w:rPr>
        <w:t>-Desconocen casi por completo la relevancia de El Escorial para la Historia Moderna (que es aprte del temario de ese curso).</w:t>
      </w:r>
    </w:p>
    <w:p>
      <w:pPr>
        <w:pStyle w:val="Standard"/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>
        <w:rPr>
          <w:color w:val="000000"/>
          <w:sz w:val="21"/>
          <w:szCs w:val="21"/>
        </w:rPr>
        <w:t>-Su motivación crece cuando la actividad que se les propone no tiene un aire estrictamente académico.</w:t>
      </w:r>
    </w:p>
    <w:p>
      <w:pPr>
        <w:pStyle w:val="Standard"/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>
        <w:rPr>
          <w:color w:val="000000"/>
          <w:sz w:val="21"/>
          <w:szCs w:val="21"/>
        </w:rPr>
        <w:t>-Se desenvuelven mejor en tareas de cierta complejidad que en tareas sencillas.</w:t>
      </w:r>
    </w:p>
    <w:p>
      <w:pPr>
        <w:pStyle w:val="ListParagraph"/>
        <w:numPr>
          <w:ilvl w:val="0"/>
          <w:numId w:val="2"/>
        </w:numPr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Aproximaciones teóricas que justifiquen y sobre las que se sostiene la práctica educativa.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/>
      </w:pPr>
      <w:r>
        <w:rPr>
          <w:color w:val="000000"/>
          <w:sz w:val="21"/>
          <w:szCs w:val="21"/>
        </w:rPr>
        <w:t xml:space="preserve">   </w:t>
      </w:r>
      <w:r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>La metodología de Aprendizaje basado en Proyectos.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>
        <w:rPr>
          <w:color w:val="000000"/>
          <w:sz w:val="21"/>
          <w:szCs w:val="21"/>
        </w:rPr>
        <w:t>-El efecto Pigmalión.</w:t>
      </w:r>
    </w:p>
    <w:p>
      <w:pPr>
        <w:pStyle w:val="ListParagraph"/>
        <w:numPr>
          <w:ilvl w:val="0"/>
          <w:numId w:val="2"/>
        </w:numPr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Objetivos educativos.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/>
      </w:pPr>
      <w:r>
        <w:rPr>
          <w:color w:val="000000"/>
          <w:sz w:val="21"/>
          <w:szCs w:val="21"/>
        </w:rPr>
        <w:t xml:space="preserve">   </w:t>
      </w:r>
      <w:r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>Alcanzar un conocimiento mínimo sobre la etapa histórica en que se construye el Monasterio de San Lorenzo de El Escorial.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-Lanzar un proyecto en el que se sientan implicadas/os.</w:t>
      </w:r>
    </w:p>
    <w:p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lineRule="auto" w:line="264" w:before="24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Contexto y participantes</w:t>
      </w:r>
    </w:p>
    <w:p>
      <w:pPr>
        <w:pStyle w:val="ListParagraph"/>
        <w:numPr>
          <w:ilvl w:val="0"/>
          <w:numId w:val="3"/>
        </w:numPr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Enumeración del grupo o grupos de alumnos a los que se dirige la práctica.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/>
      </w:pPr>
      <w:r>
        <w:rPr>
          <w:color w:val="000000"/>
          <w:sz w:val="21"/>
          <w:szCs w:val="21"/>
        </w:rPr>
        <w:t xml:space="preserve">   </w:t>
      </w:r>
      <w:r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>Grupo de 3ºPMAR. Cinco alumnas y tres alumnos. Perfiles académicos distintos, en cuanto a capacidades, fragilidades y puntos fuertes.</w:t>
      </w:r>
    </w:p>
    <w:p>
      <w:pPr>
        <w:pStyle w:val="ListParagraph"/>
        <w:numPr>
          <w:ilvl w:val="0"/>
          <w:numId w:val="3"/>
        </w:numPr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Explicitación de los profesores y/o profesionales educativos implicados en la práctica.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/>
      </w:pPr>
      <w:r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>Tutora: seguimiento del grupo, y de su implicación en el proyecto.</w:t>
      </w:r>
    </w:p>
    <w:p>
      <w:pPr>
        <w:pStyle w:val="ListParagraph"/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-Profesora del ACM (Ámbito científico matemático): diseño del tablero y comunicación externa con empresas de montaje de juegos de mesa.</w:t>
      </w:r>
    </w:p>
    <w:p>
      <w:pPr>
        <w:pStyle w:val="ListParagraph"/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-Profesor del ALS: diseño del juego y de sus instrucciones.</w:t>
      </w:r>
    </w:p>
    <w:p>
      <w:pPr>
        <w:pStyle w:val="ListParagraph"/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-Profesora de Tecnología: elaboración del tablero y otros componentes del juego.</w:t>
      </w:r>
    </w:p>
    <w:p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lineRule="auto" w:line="264" w:before="24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Descripción de la práctica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/>
      </w:pPr>
      <w:r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1) Propuesta del proyecto (noviembre 2018)</w:t>
      </w:r>
    </w:p>
    <w:p>
      <w:pPr>
        <w:pStyle w:val="ListParagraph"/>
        <w:numPr>
          <w:ilvl w:val="3"/>
          <w:numId w:val="4"/>
        </w:numPr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alumnado se le propone trabajar a través de proyectos. Se valoran diversas posibilidades (un corto, un juego de mesa); se opta por este último por dificultades insalvables para el primero.</w:t>
      </w:r>
    </w:p>
    <w:p>
      <w:pPr>
        <w:pStyle w:val="ListParagraph"/>
        <w:numPr>
          <w:ilvl w:val="3"/>
          <w:numId w:val="4"/>
        </w:numPr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El alumnado y el profesorado firma un compromiso de trabajo.</w:t>
      </w:r>
    </w:p>
    <w:p>
      <w:pPr>
        <w:pStyle w:val="ListParagraph"/>
        <w:numPr>
          <w:ilvl w:val="0"/>
          <w:numId w:val="0"/>
        </w:numPr>
        <w:spacing w:lineRule="auto" w:line="264"/>
        <w:ind w:left="180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spacing w:lineRule="auto" w:line="264"/>
        <w:ind w:left="180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Diseño del juego (noviembre-diciembre 2018)</w:t>
      </w:r>
    </w:p>
    <w:p>
      <w:pPr>
        <w:pStyle w:val="ListParagraph"/>
        <w:numPr>
          <w:ilvl w:val="3"/>
          <w:numId w:val="4"/>
        </w:numPr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Por un lado, se analiza cómo se crea un juego de mesa, leyendo las instrucciones de wikihow y practicando con varios juegos (Laberinto mágico, Risk, Catán).</w:t>
      </w:r>
    </w:p>
    <w:p>
      <w:pPr>
        <w:pStyle w:val="ListParagraph"/>
        <w:numPr>
          <w:ilvl w:val="3"/>
          <w:numId w:val="4"/>
        </w:numPr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Por otro, se elabora un path para que sueñen cómo puede ser el juego. A través de él, se decide la mecánica de forma dialogada. El resultado es sorprendentemente bueno.</w:t>
      </w:r>
    </w:p>
    <w:p>
      <w:pPr>
        <w:pStyle w:val="ListParagraph"/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ListParagraph"/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Elaboración de un prototipo (enero-abril 2019)</w:t>
      </w:r>
    </w:p>
    <w:p>
      <w:pPr>
        <w:pStyle w:val="ListParagraph"/>
        <w:numPr>
          <w:ilvl w:val="3"/>
          <w:numId w:val="4"/>
        </w:numPr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 celebra una reunión del grupo con el profesorado implicado y se reparten las tareas antes mencionadas.</w:t>
      </w:r>
    </w:p>
    <w:p>
      <w:pPr>
        <w:pStyle w:val="ListParagraph"/>
        <w:numPr>
          <w:ilvl w:val="3"/>
          <w:numId w:val="4"/>
        </w:numPr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cada materia se trabaja y se evalúa la parte que le corresponde.</w:t>
      </w:r>
    </w:p>
    <w:p>
      <w:pPr>
        <w:pStyle w:val="ListParagraph"/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ListParagraph"/>
        <w:spacing w:lineRule="auto" w:line="264"/>
        <w:ind w:left="0" w:right="0" w:hanging="0"/>
        <w:rPr/>
      </w:pPr>
      <w:r>
        <w:rPr>
          <w:color w:val="000000"/>
          <w:sz w:val="21"/>
          <w:szCs w:val="21"/>
        </w:rPr>
        <w:t xml:space="preserve">4) Puesta a prueba del prototipo </w:t>
      </w:r>
      <w:r>
        <w:rPr>
          <w:color w:val="000000"/>
          <w:sz w:val="21"/>
          <w:szCs w:val="21"/>
        </w:rPr>
        <w:t>(mayo 2019)</w:t>
      </w:r>
    </w:p>
    <w:p>
      <w:pPr>
        <w:pStyle w:val="ListParagraph"/>
        <w:numPr>
          <w:ilvl w:val="3"/>
          <w:numId w:val="4"/>
        </w:numPr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Juego por parte del propio grupo, de  otros grupos del IES, de familias nuestras.</w:t>
      </w:r>
    </w:p>
    <w:p>
      <w:pPr>
        <w:pStyle w:val="ListParagraph"/>
        <w:numPr>
          <w:ilvl w:val="3"/>
          <w:numId w:val="4"/>
        </w:numPr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Corrección de errores.</w:t>
      </w:r>
    </w:p>
    <w:p>
      <w:pPr>
        <w:pStyle w:val="ListParagraph"/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ListParagraph"/>
        <w:spacing w:lineRule="auto" w:line="264"/>
        <w:ind w:left="0" w:right="0" w:hanging="0"/>
        <w:rPr/>
      </w:pPr>
      <w:r>
        <w:rPr>
          <w:color w:val="000000"/>
          <w:sz w:val="21"/>
          <w:szCs w:val="21"/>
        </w:rPr>
        <w:t xml:space="preserve">5) </w:t>
      </w:r>
      <w:r>
        <w:rPr>
          <w:color w:val="000000"/>
          <w:sz w:val="21"/>
          <w:szCs w:val="21"/>
        </w:rPr>
        <w:t>Difusión del juego (mayo-junio 2019; abortada)</w:t>
      </w:r>
    </w:p>
    <w:p>
      <w:pPr>
        <w:pStyle w:val="ListParagraph"/>
        <w:numPr>
          <w:ilvl w:val="3"/>
          <w:numId w:val="4"/>
        </w:numPr>
        <w:spacing w:lineRule="auto" w:line="264"/>
        <w:ind w:left="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Contacto con la dirección del IES, empresas de montaje de juegos y ayuntamiento de El Escorial para su creación definitiva.</w:t>
      </w:r>
    </w:p>
    <w:p>
      <w:pPr>
        <w:pStyle w:val="ListParagraph"/>
        <w:numPr>
          <w:ilvl w:val="3"/>
          <w:numId w:val="4"/>
        </w:numPr>
        <w:spacing w:lineRule="auto" w:line="264"/>
        <w:ind w:left="0" w:right="0" w:hanging="0"/>
        <w:rPr/>
      </w:pPr>
      <w:r>
        <w:rPr>
          <w:color w:val="000000"/>
          <w:sz w:val="21"/>
          <w:szCs w:val="21"/>
        </w:rPr>
        <w:t>D</w:t>
      </w:r>
      <w:r>
        <w:rPr>
          <w:color w:val="000000"/>
          <w:sz w:val="21"/>
          <w:szCs w:val="21"/>
        </w:rPr>
        <w:t>ecisión prácticamente unánime del alumnado de no seguir adelante con el proyecto.</w:t>
      </w:r>
    </w:p>
    <w:p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lineRule="auto" w:line="264" w:before="24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Criterios y herramientas de observación y validación</w:t>
      </w:r>
    </w:p>
    <w:p>
      <w:pPr>
        <w:pStyle w:val="ListParagraph"/>
        <w:numPr>
          <w:ilvl w:val="0"/>
          <w:numId w:val="5"/>
        </w:numPr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Enumeración los criterios de observación de la práctica.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 Asambleas de discusión con el grupo.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Reuniones semanales del equipo docente.</w:t>
      </w:r>
    </w:p>
    <w:p>
      <w:pPr>
        <w:pStyle w:val="ListParagraph"/>
        <w:numPr>
          <w:ilvl w:val="0"/>
          <w:numId w:val="5"/>
        </w:numPr>
        <w:spacing w:lineRule="auto" w:line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Explicitación de las herramientas utilizadas para la validación de la práctica 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Retroalimentación continua entre el profesorado.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Valoración en grupo del trabajo del alumnado.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Cuaderno de aula en que se recoge el trabajo y el reparto de responsabilidades.</w:t>
      </w:r>
    </w:p>
    <w:p>
      <w:pPr>
        <w:pStyle w:val="Standard"/>
        <w:pBdr>
          <w:top w:val="single" w:sz="4" w:space="2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lineRule="auto" w:line="264" w:before="240" w:after="120"/>
        <w:rPr/>
      </w:pPr>
      <w:r>
        <w:rPr>
          <w:color w:val="000000"/>
          <w:sz w:val="22"/>
          <w:szCs w:val="22"/>
        </w:rPr>
        <w:t>6. Resultados y discusión</w:t>
        <w:tab/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/>
      </w:pPr>
      <w:r>
        <w:rPr>
          <w:color w:val="000000"/>
          <w:sz w:val="21"/>
          <w:szCs w:val="21"/>
        </w:rPr>
        <w:t xml:space="preserve">Fieles y traidores respondió bien a su nombre. El alumnado sintió una extrema fidelidad por parte de su grupo de profesores. Sintieron que les llevaban a un aprendizaje que no se habían planteado que llegaran a desarrollar. En concreto, sintieron cómo aprendían acerca de la época estudiada, y se vieron capaces de elaborar un producto, un juego de mesa, que sabían que era suyo, y que era mucho más digno y atractivo de lo que nunca habríamos pensado, ni ellos ni nosotros. </w:t>
      </w:r>
      <w:r>
        <w:rPr>
          <w:color w:val="000000"/>
          <w:sz w:val="21"/>
          <w:szCs w:val="21"/>
        </w:rPr>
        <w:t>En definitiva: un alumnado que se veía como “malo”, consiguió elaborar un gran producto.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/>
      </w:pPr>
      <w:r>
        <w:rPr>
          <w:color w:val="000000"/>
          <w:sz w:val="21"/>
          <w:szCs w:val="21"/>
        </w:rPr>
        <w:t>Si bien el grado de motivación y de implicación fue alto, el final del proceso nos descolocó sumamente. El equipo de profesores no llegamos a conclusiones, pero sí percibimos que no habíamos contado lo suficiente con:</w:t>
      </w:r>
    </w:p>
    <w:p>
      <w:pPr>
        <w:pStyle w:val="ListParagraph"/>
        <w:numPr>
          <w:ilvl w:val="0"/>
          <w:numId w:val="6"/>
        </w:numPr>
        <w:spacing w:lineRule="auto" w:line="264"/>
        <w:ind w:left="0" w:right="0" w:hanging="0"/>
        <w:rPr/>
      </w:pPr>
      <w:r>
        <w:rPr>
          <w:color w:val="000000"/>
          <w:sz w:val="21"/>
          <w:szCs w:val="21"/>
        </w:rPr>
        <w:t>Los roles de liderazgo entre el propio grupo, y cómo eso marcaba las decisiones.</w:t>
      </w:r>
    </w:p>
    <w:p>
      <w:pPr>
        <w:pStyle w:val="ListParagraph"/>
        <w:numPr>
          <w:ilvl w:val="0"/>
          <w:numId w:val="6"/>
        </w:numPr>
        <w:spacing w:lineRule="auto" w:line="264"/>
        <w:ind w:left="0" w:right="0" w:hanging="0"/>
        <w:rPr/>
      </w:pPr>
      <w:r>
        <w:rPr>
          <w:color w:val="000000"/>
          <w:sz w:val="21"/>
          <w:szCs w:val="21"/>
        </w:rPr>
        <w:t>El miedo escénico a verse excesivamente expuestos, pasando de ser alumnos “marcados” a alumnos “modelo”.</w:t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/>
      </w:pPr>
      <w:r>
        <w:rPr>
          <w:color w:val="000000"/>
          <w:sz w:val="21"/>
          <w:szCs w:val="21"/>
        </w:rPr>
        <w:t>Otros componentes son muy propios del ABP: dificultad para cumplir los plazos, problemas para coordinar el trabajo de un grupo de profesorado sin que haya horas para ello.</w:t>
      </w:r>
    </w:p>
    <w:p>
      <w:pPr>
        <w:pStyle w:val="Standard"/>
        <w:pBdr>
          <w:top w:val="single" w:sz="4" w:space="2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lineRule="auto" w:line="264" w:before="24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Líneas de mejora y futuro</w:t>
        <w:tab/>
      </w:r>
    </w:p>
    <w:p>
      <w:pPr>
        <w:pStyle w:val="ListParagraph"/>
        <w:numPr>
          <w:ilvl w:val="0"/>
          <w:numId w:val="0"/>
        </w:numPr>
        <w:spacing w:lineRule="auto" w:line="264"/>
        <w:ind w:left="720" w:right="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Como siempre con el ABP, mayor previsión y coordinación. Y, por parte del profesorado, un mayor realismo acerca de dónde está el alumnado.</w:t>
      </w:r>
    </w:p>
    <w:p>
      <w:pPr>
        <w:pStyle w:val="ListParagraph"/>
        <w:numPr>
          <w:ilvl w:val="0"/>
          <w:numId w:val="0"/>
        </w:numPr>
        <w:spacing w:lineRule="auto" w:line="264"/>
        <w:ind w:left="1440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Monaco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  <w:p>
    <w:pPr>
      <w:pStyle w:val="Piedepgina"/>
      <w:spacing w:before="120" w:after="0"/>
      <w:rPr>
        <w:rFonts w:cs="Times New Roman"/>
        <w:sz w:val="18"/>
        <w:szCs w:val="18"/>
      </w:rPr>
    </w:pPr>
    <w:r>
      <w:drawing>
        <wp:anchor behindDoc="1" distT="0" distB="5715" distL="114300" distR="114300" simplePos="0" locked="0" layoutInCell="1" allowOverlap="1" relativeHeight="5">
          <wp:simplePos x="0" y="0"/>
          <wp:positionH relativeFrom="margin">
            <wp:posOffset>165735</wp:posOffset>
          </wp:positionH>
          <wp:positionV relativeFrom="paragraph">
            <wp:posOffset>19685</wp:posOffset>
          </wp:positionV>
          <wp:extent cx="1018540" cy="356235"/>
          <wp:effectExtent l="0" t="0" r="0" b="0"/>
          <wp:wrapSquare wrapText="bothSides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 w:val="18"/>
        <w:szCs w:val="18"/>
      </w:rPr>
      <w:t>E</w:t>
    </w:r>
    <w:r>
      <w:rPr>
        <w:rFonts w:cs="Times New Roman"/>
        <w:sz w:val="18"/>
        <w:szCs w:val="18"/>
      </w:rPr>
      <w:t>sta práctica educativa está sujeta como obra a la Licencia Reconocimiento-NoComercial-CompartirIgual 4.0 Internacional de Creative Commons.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rFonts w:ascii="Monaco" w:hAnsi="Monaco"/>
        <w:color w:val="000000"/>
        <w:sz w:val="16"/>
        <w:szCs w:val="16"/>
      </w:rPr>
    </w:pPr>
    <w:r>
      <w:rPr>
        <w:rFonts w:ascii="Monaco" w:hAnsi="Monaco"/>
        <w:color w:val="000000"/>
        <w:sz w:val="16"/>
        <w:szCs w:val="16"/>
      </w:rPr>
      <w:drawing>
        <wp:anchor behindDoc="1" distT="0" distB="4445" distL="11430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margin">
            <wp:posOffset>-906780</wp:posOffset>
          </wp:positionV>
          <wp:extent cx="946785" cy="72009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>
        <w:rFonts w:ascii="Monaco" w:hAnsi="Monaco"/>
        <w:color w:val="000000"/>
        <w:sz w:val="16"/>
        <w:szCs w:val="16"/>
      </w:rPr>
    </w:pPr>
    <w:r>
      <w:rPr>
        <w:rFonts w:ascii="Monaco" w:hAnsi="Monaco"/>
        <w:color w:val="000000"/>
        <w:sz w:val="16"/>
        <w:szCs w:val="16"/>
      </w:rPr>
      <w:t>Práctica educativa – 3ª Jornada Pensadero de maestros</w:t>
    </w:r>
  </w:p>
  <w:p>
    <w:pPr>
      <w:pStyle w:val="Encabezamiento"/>
      <w:rPr>
        <w:rFonts w:ascii="Monaco" w:hAnsi="Monaco"/>
        <w:color w:val="000000"/>
        <w:sz w:val="16"/>
        <w:szCs w:val="16"/>
      </w:rPr>
    </w:pPr>
    <w:r>
      <w:rPr>
        <w:rFonts w:ascii="Monaco" w:hAnsi="Monaco"/>
        <w:color w:val="000000"/>
        <w:sz w:val="16"/>
        <w:szCs w:val="16"/>
      </w:rPr>
    </w:r>
  </w:p>
  <w:p>
    <w:pPr>
      <w:pStyle w:val="Encabezamiento"/>
      <w:rPr>
        <w:rFonts w:ascii="Monaco" w:hAnsi="Monaco"/>
        <w:color w:val="000000"/>
        <w:sz w:val="16"/>
        <w:szCs w:val="16"/>
      </w:rPr>
    </w:pPr>
    <w:r>
      <w:rPr>
        <w:rFonts w:ascii="Monaco" w:hAnsi="Monaco"/>
        <w:color w:val="000000"/>
        <w:sz w:val="16"/>
        <w:szCs w:val="16"/>
      </w:rPr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Lucida Sans"/>
      <w:color w:val="auto"/>
      <w:sz w:val="24"/>
      <w:szCs w:val="24"/>
      <w:lang w:val="es-ES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">
    <w:name w:val="ListLabel 1"/>
    <w:qFormat/>
    <w:rPr>
      <w:rFonts w:cs="Courier New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eastAsia="OpenSymbol" w:cs="OpenSymbol"/>
      <w:sz w:val="21"/>
    </w:rPr>
  </w:style>
  <w:style w:type="character" w:styleId="ListLabel39">
    <w:name w:val="ListLabel 39"/>
    <w:qFormat/>
    <w:rPr>
      <w:rFonts w:eastAsia="OpenSymbol" w:cs="OpenSymbol"/>
    </w:rPr>
  </w:style>
  <w:style w:type="character" w:styleId="ListLabel40">
    <w:name w:val="ListLabel 40"/>
    <w:qFormat/>
    <w:rPr>
      <w:rFonts w:eastAsia="OpenSymbol" w:cs="OpenSymbol"/>
    </w:rPr>
  </w:style>
  <w:style w:type="character" w:styleId="ListLabel41">
    <w:name w:val="ListLabel 41"/>
    <w:qFormat/>
    <w:rPr>
      <w:rFonts w:eastAsia="OpenSymbol" w:cs="OpenSymbol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  <w:sz w:val="21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eastAsia="OpenSymbol" w:cs="OpenSymbol"/>
    </w:rPr>
  </w:style>
  <w:style w:type="character" w:styleId="ListLabel56">
    <w:name w:val="ListLabel 56"/>
    <w:qFormat/>
    <w:rPr>
      <w:rFonts w:eastAsia="OpenSymbol" w:cs="OpenSymbol"/>
      <w:sz w:val="21"/>
    </w:rPr>
  </w:style>
  <w:style w:type="character" w:styleId="ListLabel57">
    <w:name w:val="ListLabel 57"/>
    <w:qFormat/>
    <w:rPr>
      <w:rFonts w:eastAsia="OpenSymbol" w:cs="OpenSymbol"/>
    </w:rPr>
  </w:style>
  <w:style w:type="character" w:styleId="ListLabel58">
    <w:name w:val="ListLabel 58"/>
    <w:qFormat/>
    <w:rPr>
      <w:rFonts w:eastAsia="OpenSymbol" w:cs="OpenSymbol"/>
    </w:rPr>
  </w:style>
  <w:style w:type="character" w:styleId="ListLabel59">
    <w:name w:val="ListLabel 59"/>
    <w:qFormat/>
    <w:rPr>
      <w:rFonts w:eastAsia="OpenSymbol" w:cs="OpenSymbol"/>
    </w:rPr>
  </w:style>
  <w:style w:type="character" w:styleId="ListLabel60">
    <w:name w:val="ListLabel 60"/>
    <w:qFormat/>
    <w:rPr>
      <w:rFonts w:eastAsia="OpenSymbol" w:cs="OpenSymbol"/>
    </w:rPr>
  </w:style>
  <w:style w:type="character" w:styleId="ListLabel61">
    <w:name w:val="ListLabel 61"/>
    <w:qFormat/>
    <w:rPr>
      <w:rFonts w:eastAsia="OpenSymbol" w:cs="OpenSymbol"/>
    </w:rPr>
  </w:style>
  <w:style w:type="character" w:styleId="ListLabel62">
    <w:name w:val="ListLabel 62"/>
    <w:qFormat/>
    <w:rPr>
      <w:rFonts w:eastAsia="OpenSymbol" w:cs="OpenSymbol"/>
    </w:rPr>
  </w:style>
  <w:style w:type="character" w:styleId="ListLabel63">
    <w:name w:val="ListLabel 63"/>
    <w:qFormat/>
    <w:rPr>
      <w:rFonts w:eastAsia="OpenSymbol" w:cs="OpenSymbol"/>
    </w:rPr>
  </w:style>
  <w:style w:type="character" w:styleId="ListLabel64">
    <w:name w:val="ListLabel 64"/>
    <w:qFormat/>
    <w:rPr>
      <w:rFonts w:eastAsia="OpenSymbol" w:cs="OpenSymbol"/>
    </w:rPr>
  </w:style>
  <w:style w:type="character" w:styleId="ListLabel65">
    <w:name w:val="ListLabel 65"/>
    <w:qFormat/>
    <w:rPr>
      <w:rFonts w:eastAsia="OpenSymbol" w:cs="OpenSymbol"/>
      <w:sz w:val="21"/>
    </w:rPr>
  </w:style>
  <w:style w:type="character" w:styleId="ListLabel66">
    <w:name w:val="ListLabel 66"/>
    <w:qFormat/>
    <w:rPr>
      <w:rFonts w:eastAsia="OpenSymbol" w:cs="OpenSymbol"/>
    </w:rPr>
  </w:style>
  <w:style w:type="character" w:styleId="ListLabel67">
    <w:name w:val="ListLabel 67"/>
    <w:qFormat/>
    <w:rPr>
      <w:rFonts w:eastAsia="OpenSymbol" w:cs="OpenSymbol"/>
    </w:rPr>
  </w:style>
  <w:style w:type="character" w:styleId="ListLabel68">
    <w:name w:val="ListLabel 68"/>
    <w:qFormat/>
    <w:rPr>
      <w:rFonts w:eastAsia="OpenSymbol" w:cs="OpenSymbol"/>
    </w:rPr>
  </w:style>
  <w:style w:type="character" w:styleId="ListLabel69">
    <w:name w:val="ListLabel 69"/>
    <w:qFormat/>
    <w:rPr>
      <w:rFonts w:eastAsia="OpenSymbol" w:cs="OpenSymbol"/>
    </w:rPr>
  </w:style>
  <w:style w:type="character" w:styleId="ListLabel70">
    <w:name w:val="ListLabel 70"/>
    <w:qFormat/>
    <w:rPr>
      <w:rFonts w:eastAsia="OpenSymbol" w:cs="OpenSymbol"/>
    </w:rPr>
  </w:style>
  <w:style w:type="character" w:styleId="ListLabel71">
    <w:name w:val="ListLabel 71"/>
    <w:qFormat/>
    <w:rPr>
      <w:rFonts w:eastAsia="OpenSymbol" w:cs="OpenSymbol"/>
    </w:rPr>
  </w:style>
  <w:style w:type="character" w:styleId="ListLabel72">
    <w:name w:val="ListLabel 72"/>
    <w:qFormat/>
    <w:rPr>
      <w:rFonts w:eastAsia="OpenSymbol" w:cs="OpenSymbol"/>
    </w:rPr>
  </w:style>
  <w:style w:type="character" w:styleId="ListLabel73">
    <w:name w:val="ListLabel 73"/>
    <w:qFormat/>
    <w:rPr>
      <w:rFonts w:eastAsia="OpenSymbol" w:cs="OpenSymbol"/>
    </w:rPr>
  </w:style>
  <w:style w:type="character" w:styleId="ListLabel74">
    <w:name w:val="ListLabel 74"/>
    <w:qFormat/>
    <w:rPr>
      <w:rFonts w:eastAsia="OpenSymbol" w:cs="OpenSymbol"/>
      <w:sz w:val="21"/>
    </w:rPr>
  </w:style>
  <w:style w:type="character" w:styleId="ListLabel75">
    <w:name w:val="ListLabel 75"/>
    <w:qFormat/>
    <w:rPr>
      <w:rFonts w:eastAsia="OpenSymbol" w:cs="OpenSymbol"/>
    </w:rPr>
  </w:style>
  <w:style w:type="character" w:styleId="ListLabel76">
    <w:name w:val="ListLabel 76"/>
    <w:qFormat/>
    <w:rPr>
      <w:rFonts w:eastAsia="OpenSymbol" w:cs="OpenSymbol"/>
    </w:rPr>
  </w:style>
  <w:style w:type="character" w:styleId="ListLabel77">
    <w:name w:val="ListLabel 77"/>
    <w:qFormat/>
    <w:rPr>
      <w:rFonts w:eastAsia="OpenSymbol" w:cs="OpenSymbol"/>
    </w:rPr>
  </w:style>
  <w:style w:type="character" w:styleId="ListLabel78">
    <w:name w:val="ListLabel 78"/>
    <w:qFormat/>
    <w:rPr>
      <w:rFonts w:eastAsia="OpenSymbol" w:cs="OpenSymbol"/>
    </w:rPr>
  </w:style>
  <w:style w:type="character" w:styleId="ListLabel79">
    <w:name w:val="ListLabel 79"/>
    <w:qFormat/>
    <w:rPr>
      <w:rFonts w:eastAsia="OpenSymbol" w:cs="OpenSymbol"/>
    </w:rPr>
  </w:style>
  <w:style w:type="character" w:styleId="ListLabel80">
    <w:name w:val="ListLabel 80"/>
    <w:qFormat/>
    <w:rPr>
      <w:rFonts w:eastAsia="OpenSymbol" w:cs="OpenSymbol"/>
    </w:rPr>
  </w:style>
  <w:style w:type="character" w:styleId="ListLabel81">
    <w:name w:val="ListLabel 81"/>
    <w:qFormat/>
    <w:rPr>
      <w:rFonts w:eastAsia="OpenSymbol" w:cs="OpenSymbol"/>
    </w:rPr>
  </w:style>
  <w:style w:type="character" w:styleId="ListLabel82">
    <w:name w:val="ListLabel 82"/>
    <w:qFormat/>
    <w:rPr>
      <w:rFonts w:eastAsia="OpenSymbol" w:cs="OpenSymbol"/>
    </w:rPr>
  </w:style>
  <w:style w:type="character" w:styleId="ListLabel83">
    <w:name w:val="ListLabel 83"/>
    <w:qFormat/>
    <w:rPr>
      <w:rFonts w:eastAsia="OpenSymbol" w:cs="OpenSymbol"/>
      <w:sz w:val="21"/>
    </w:rPr>
  </w:style>
  <w:style w:type="character" w:styleId="ListLabel84">
    <w:name w:val="ListLabel 84"/>
    <w:qFormat/>
    <w:rPr>
      <w:rFonts w:eastAsia="OpenSymbol" w:cs="OpenSymbol"/>
    </w:rPr>
  </w:style>
  <w:style w:type="character" w:styleId="ListLabel85">
    <w:name w:val="ListLabel 85"/>
    <w:qFormat/>
    <w:rPr>
      <w:rFonts w:eastAsia="OpenSymbol" w:cs="OpenSymbol"/>
    </w:rPr>
  </w:style>
  <w:style w:type="character" w:styleId="ListLabel86">
    <w:name w:val="ListLabel 86"/>
    <w:qFormat/>
    <w:rPr>
      <w:rFonts w:eastAsia="OpenSymbol" w:cs="OpenSymbol"/>
    </w:rPr>
  </w:style>
  <w:style w:type="character" w:styleId="ListLabel87">
    <w:name w:val="ListLabel 87"/>
    <w:qFormat/>
    <w:rPr>
      <w:rFonts w:eastAsia="OpenSymbol" w:cs="OpenSymbol"/>
    </w:rPr>
  </w:style>
  <w:style w:type="character" w:styleId="ListLabel88">
    <w:name w:val="ListLabel 88"/>
    <w:qFormat/>
    <w:rPr>
      <w:rFonts w:eastAsia="OpenSymbol" w:cs="OpenSymbol"/>
    </w:rPr>
  </w:style>
  <w:style w:type="character" w:styleId="ListLabel89">
    <w:name w:val="ListLabel 89"/>
    <w:qFormat/>
    <w:rPr>
      <w:rFonts w:eastAsia="OpenSymbol" w:cs="OpenSymbol"/>
    </w:rPr>
  </w:style>
  <w:style w:type="character" w:styleId="ListLabel90">
    <w:name w:val="ListLabel 90"/>
    <w:qFormat/>
    <w:rPr>
      <w:rFonts w:eastAsia="OpenSymbol" w:cs="OpenSymbol"/>
    </w:rPr>
  </w:style>
  <w:style w:type="character" w:styleId="ListLabel91">
    <w:name w:val="ListLabel 91"/>
    <w:qFormat/>
    <w:rPr>
      <w:rFonts w:eastAsia="OpenSymbol" w:cs="OpenSymbol"/>
    </w:rPr>
  </w:style>
  <w:style w:type="character" w:styleId="ListLabel92">
    <w:name w:val="ListLabel 92"/>
    <w:qFormat/>
    <w:rPr>
      <w:rFonts w:eastAsia="OpenSymbol" w:cs="OpenSymbol"/>
      <w:sz w:val="21"/>
    </w:rPr>
  </w:style>
  <w:style w:type="character" w:styleId="ListLabel93">
    <w:name w:val="ListLabel 93"/>
    <w:qFormat/>
    <w:rPr>
      <w:rFonts w:eastAsia="OpenSymbol" w:cs="OpenSymbol"/>
    </w:rPr>
  </w:style>
  <w:style w:type="character" w:styleId="ListLabel94">
    <w:name w:val="ListLabel 94"/>
    <w:qFormat/>
    <w:rPr>
      <w:rFonts w:eastAsia="OpenSymbol" w:cs="OpenSymbol"/>
    </w:rPr>
  </w:style>
  <w:style w:type="character" w:styleId="ListLabel95">
    <w:name w:val="ListLabel 95"/>
    <w:qFormat/>
    <w:rPr>
      <w:rFonts w:eastAsia="OpenSymbol" w:cs="OpenSymbol"/>
    </w:rPr>
  </w:style>
  <w:style w:type="character" w:styleId="ListLabel96">
    <w:name w:val="ListLabel 96"/>
    <w:qFormat/>
    <w:rPr>
      <w:rFonts w:eastAsia="OpenSymbol" w:cs="OpenSymbol"/>
    </w:rPr>
  </w:style>
  <w:style w:type="character" w:styleId="ListLabel97">
    <w:name w:val="ListLabel 97"/>
    <w:qFormat/>
    <w:rPr>
      <w:rFonts w:eastAsia="OpenSymbol" w:cs="OpenSymbol"/>
    </w:rPr>
  </w:style>
  <w:style w:type="character" w:styleId="ListLabel98">
    <w:name w:val="ListLabel 98"/>
    <w:qFormat/>
    <w:rPr>
      <w:rFonts w:eastAsia="OpenSymbol" w:cs="OpenSymbol"/>
    </w:rPr>
  </w:style>
  <w:style w:type="character" w:styleId="ListLabel99">
    <w:name w:val="ListLabel 99"/>
    <w:qFormat/>
    <w:rPr>
      <w:rFonts w:eastAsia="OpenSymbol" w:cs="OpenSymbol"/>
    </w:rPr>
  </w:style>
  <w:style w:type="character" w:styleId="ListLabel100">
    <w:name w:val="ListLabel 100"/>
    <w:qFormat/>
    <w:rPr>
      <w:rFonts w:eastAsia="OpenSymbol" w:cs="OpenSymbol"/>
    </w:rPr>
  </w:style>
  <w:style w:type="paragraph" w:styleId="Encabezado">
    <w:name w:val="Encabezado"/>
    <w:basedOn w:val="Standard"/>
    <w:next w:val="Cuerpodetexto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eastAsia="SimSun, 宋体" w:ascii="Times New Roman" w:hAnsi="Times New Roman" w:cs="Lucida Sans"/>
      <w:color w:val="auto"/>
      <w:sz w:val="24"/>
      <w:szCs w:val="24"/>
      <w:lang w:val="es-ES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Encabezado1">
    <w:name w:val="Encabezado1"/>
    <w:basedOn w:val="Standard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Encabezamiento">
    <w:name w:val="Head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LibreOffice/5.1.6.2$Linux_x86 LibreOffice_project/10m0$Build-2</Application>
  <Pages>2</Pages>
  <Words>892</Words>
  <Characters>4662</Characters>
  <CharactersWithSpaces>5496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2019-06-05T07:53:00Z</dcterms:created>
  <dc:creator>Fundación Promaestro</dc:creator>
  <dc:description/>
  <dc:language>es-ES</dc:language>
  <cp:lastModifiedBy/>
  <dcterms:modified xsi:type="dcterms:W3CDTF">2019-10-14T19:17:59Z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