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2.png" ContentType="image/png"/>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lineRule="auto" w:line="264"/>
        <w:rPr/>
      </w:pPr>
      <w:r>
        <w:rPr>
          <w:b/>
          <w:bCs/>
          <w:color w:val="000000"/>
          <w:sz w:val="22"/>
          <w:szCs w:val="22"/>
        </w:rPr>
        <w:t>Título</w:t>
      </w:r>
      <w:r>
        <w:rPr>
          <w:color w:val="000000"/>
          <w:sz w:val="22"/>
          <w:szCs w:val="22"/>
        </w:rPr>
        <w:t xml:space="preserve"> de la práctica educativa: </w:t>
      </w:r>
      <w:r>
        <w:rPr>
          <w:color w:val="000000"/>
          <w:sz w:val="22"/>
          <w:szCs w:val="22"/>
        </w:rPr>
        <w:t>Tertulia dialógica intergeneracional</w:t>
      </w:r>
    </w:p>
    <w:p>
      <w:pPr>
        <w:pStyle w:val="Standard"/>
        <w:spacing w:lineRule="auto" w:line="264"/>
        <w:rPr/>
      </w:pPr>
      <w:r>
        <w:rPr>
          <w:b/>
          <w:bCs/>
          <w:color w:val="000000"/>
          <w:sz w:val="22"/>
          <w:szCs w:val="22"/>
        </w:rPr>
        <w:t>Profesor/es participante/s</w:t>
      </w:r>
      <w:r>
        <w:rPr>
          <w:color w:val="000000"/>
          <w:sz w:val="22"/>
          <w:szCs w:val="22"/>
        </w:rPr>
        <w:t xml:space="preserve"> en la Jornada: </w:t>
      </w:r>
      <w:r>
        <w:rPr>
          <w:color w:val="000000"/>
          <w:sz w:val="22"/>
          <w:szCs w:val="22"/>
        </w:rPr>
        <w:t>Berta Iglesias Varela</w:t>
      </w:r>
    </w:p>
    <w:p>
      <w:pPr>
        <w:pStyle w:val="Standard"/>
        <w:spacing w:lineRule="auto" w:line="264"/>
        <w:rPr/>
      </w:pPr>
      <w:r>
        <w:rPr>
          <w:color w:val="000000"/>
          <w:sz w:val="22"/>
          <w:szCs w:val="22"/>
        </w:rPr>
        <w:t xml:space="preserve">Centro educativo (opcional): </w:t>
      </w:r>
      <w:r>
        <w:rPr>
          <w:color w:val="000000"/>
          <w:sz w:val="22"/>
          <w:szCs w:val="22"/>
        </w:rPr>
        <w:t>IES Vallecas Magerit</w:t>
      </w:r>
    </w:p>
    <w:p>
      <w:pPr>
        <w:pStyle w:val="Standard"/>
        <w:pBdr>
          <w:top w:val="single" w:sz="4" w:space="1" w:color="008080"/>
          <w:left w:val="single" w:sz="4" w:space="4" w:color="008080"/>
          <w:bottom w:val="single" w:sz="4" w:space="1" w:color="008080"/>
          <w:right w:val="single" w:sz="4" w:space="4" w:color="008080"/>
        </w:pBdr>
        <w:spacing w:lineRule="auto" w:line="264" w:before="240" w:after="120"/>
        <w:rPr>
          <w:color w:val="000000"/>
          <w:sz w:val="22"/>
          <w:szCs w:val="22"/>
        </w:rPr>
      </w:pPr>
      <w:r>
        <w:rPr>
          <w:color w:val="000000"/>
          <w:sz w:val="22"/>
          <w:szCs w:val="22"/>
        </w:rPr>
        <w:t>1. Resumen</w:t>
      </w:r>
    </w:p>
    <w:p>
      <w:pPr>
        <w:pStyle w:val="Standard"/>
        <w:spacing w:lineRule="auto" w:line="264"/>
        <w:rPr>
          <w:i/>
          <w:i/>
          <w:iCs/>
          <w:color w:val="000000"/>
          <w:sz w:val="21"/>
          <w:szCs w:val="21"/>
        </w:rPr>
      </w:pPr>
      <w:r>
        <w:rPr>
          <w:i/>
          <w:iCs/>
          <w:color w:val="000000"/>
          <w:sz w:val="21"/>
          <w:szCs w:val="21"/>
        </w:rPr>
        <w:t>¿Qué?</w:t>
      </w:r>
    </w:p>
    <w:p>
      <w:pPr>
        <w:pStyle w:val="Standard"/>
        <w:numPr>
          <w:ilvl w:val="0"/>
          <w:numId w:val="1"/>
        </w:numPr>
        <w:spacing w:lineRule="auto" w:line="264"/>
        <w:rPr/>
      </w:pPr>
      <w:r>
        <w:rPr>
          <w:color w:val="000000"/>
          <w:sz w:val="21"/>
          <w:szCs w:val="21"/>
        </w:rPr>
        <w:t xml:space="preserve">Descripción breve y significativa de la práctica educativa. </w:t>
      </w:r>
      <w:r>
        <w:rPr>
          <w:color w:val="000000"/>
          <w:sz w:val="21"/>
          <w:szCs w:val="21"/>
        </w:rPr>
        <w:t>Cuatro veces al año se procede a hacer un coloquio de lectura compartido, entre el alumnado de Bachillerato del IES Vallecas Magerit y las personas participantes en el club de lectura “Grandes lectores” del centro de personas mayores “Puente de Vallecas”.</w:t>
      </w:r>
    </w:p>
    <w:p>
      <w:pPr>
        <w:pStyle w:val="Standard"/>
        <w:numPr>
          <w:ilvl w:val="0"/>
          <w:numId w:val="1"/>
        </w:numPr>
        <w:spacing w:lineRule="auto" w:line="264"/>
        <w:rPr/>
      </w:pPr>
      <w:r>
        <w:rPr>
          <w:color w:val="000000"/>
          <w:sz w:val="21"/>
          <w:szCs w:val="21"/>
        </w:rPr>
        <w:t xml:space="preserve">Palabras clave (de 3 a 5 palabras). </w:t>
      </w:r>
      <w:r>
        <w:rPr>
          <w:color w:val="000000"/>
          <w:sz w:val="21"/>
          <w:szCs w:val="21"/>
        </w:rPr>
        <w:t>Animación lectora, literatura clásica, intergeneracional</w:t>
      </w:r>
    </w:p>
    <w:p>
      <w:pPr>
        <w:pStyle w:val="Standard"/>
        <w:pBdr>
          <w:top w:val="single" w:sz="4" w:space="1" w:color="008080"/>
          <w:left w:val="single" w:sz="4" w:space="4" w:color="008080"/>
          <w:bottom w:val="single" w:sz="4" w:space="1" w:color="008080"/>
          <w:right w:val="single" w:sz="4" w:space="4" w:color="008080"/>
        </w:pBdr>
        <w:spacing w:lineRule="auto" w:line="264" w:before="240" w:after="120"/>
        <w:rPr>
          <w:color w:val="000000"/>
          <w:sz w:val="22"/>
          <w:szCs w:val="22"/>
        </w:rPr>
      </w:pPr>
      <w:r>
        <w:rPr>
          <w:color w:val="000000"/>
          <w:sz w:val="22"/>
          <w:szCs w:val="22"/>
        </w:rPr>
        <w:t>2. Cuestión educativa a resolver</w:t>
      </w:r>
    </w:p>
    <w:p>
      <w:pPr>
        <w:pStyle w:val="Standard"/>
        <w:spacing w:lineRule="auto" w:line="264"/>
        <w:rPr>
          <w:i/>
          <w:i/>
          <w:iCs/>
          <w:color w:val="000000"/>
          <w:sz w:val="21"/>
          <w:szCs w:val="21"/>
        </w:rPr>
      </w:pPr>
      <w:r>
        <w:rPr>
          <w:i/>
          <w:iCs/>
          <w:color w:val="000000"/>
          <w:sz w:val="21"/>
          <w:szCs w:val="21"/>
        </w:rPr>
        <w:t>¿Por qué?</w:t>
      </w:r>
    </w:p>
    <w:p>
      <w:pPr>
        <w:pStyle w:val="Standard"/>
        <w:numPr>
          <w:ilvl w:val="0"/>
          <w:numId w:val="2"/>
        </w:numPr>
        <w:spacing w:lineRule="auto" w:line="264"/>
        <w:rPr/>
      </w:pPr>
      <w:r>
        <w:rPr>
          <w:color w:val="000000"/>
          <w:sz w:val="21"/>
          <w:szCs w:val="21"/>
        </w:rPr>
        <w:t xml:space="preserve">Diagnóstico inicial necesidades detectadas en el aula (alumnos y docente) o el centro. </w:t>
      </w:r>
      <w:r>
        <w:rPr>
          <w:color w:val="000000"/>
          <w:sz w:val="21"/>
          <w:szCs w:val="21"/>
        </w:rPr>
        <w:t>Esta práctica se lleva a cabo por la necesidad de fomentar la lectura con sentido. En el centro, muy pocos alumnos (generalmente alumnas) declaran que les guste leer, y la mayoría no se leen los libros obligatorios, sino que recurren a internet para encontrar resúmenes. Es necesario dotar de sentido a la lectura, especialmente de los clásicos, que les resultan muy lejanos.</w:t>
      </w:r>
    </w:p>
    <w:p>
      <w:pPr>
        <w:pStyle w:val="ListParagraph"/>
        <w:numPr>
          <w:ilvl w:val="0"/>
          <w:numId w:val="2"/>
        </w:numPr>
        <w:spacing w:lineRule="auto" w:line="264"/>
        <w:rPr/>
      </w:pPr>
      <w:r>
        <w:rPr>
          <w:color w:val="000000"/>
          <w:sz w:val="21"/>
          <w:szCs w:val="21"/>
        </w:rPr>
        <w:t xml:space="preserve">Aproximaciones teóricas que justifiquen y sobre las que se sostiene la práctica educativa. </w:t>
      </w:r>
      <w:r>
        <w:rPr>
          <w:color w:val="000000"/>
          <w:sz w:val="21"/>
          <w:szCs w:val="21"/>
        </w:rPr>
        <w:t>Esta práctica educativa se sostiene en dos pilares. Por un lado, se basa en las tertulias dialógicas, actuación de éxito educativo propuesta por el aprendizaje dialógico y las comunidades de aprendizaje (Ramón Flecha). Por otro, entronca con el aprendizaje servicio.</w:t>
      </w:r>
    </w:p>
    <w:p>
      <w:pPr>
        <w:pStyle w:val="ListParagraph"/>
        <w:numPr>
          <w:ilvl w:val="0"/>
          <w:numId w:val="2"/>
        </w:numPr>
        <w:spacing w:lineRule="auto" w:line="264"/>
        <w:rPr/>
      </w:pPr>
      <w:r>
        <w:rPr>
          <w:color w:val="000000"/>
          <w:sz w:val="21"/>
          <w:szCs w:val="21"/>
        </w:rPr>
        <w:t xml:space="preserve">Objetivos educativos. </w:t>
      </w:r>
    </w:p>
    <w:p>
      <w:pPr>
        <w:pStyle w:val="ListParagraph"/>
        <w:numPr>
          <w:ilvl w:val="1"/>
          <w:numId w:val="2"/>
        </w:numPr>
        <w:spacing w:lineRule="auto" w:line="264"/>
        <w:rPr/>
      </w:pPr>
      <w:r>
        <w:rPr>
          <w:color w:val="000000"/>
          <w:sz w:val="21"/>
          <w:szCs w:val="21"/>
        </w:rPr>
        <w:t>Dotar de sentido la lectura de los clásicos.</w:t>
      </w:r>
    </w:p>
    <w:p>
      <w:pPr>
        <w:pStyle w:val="ListParagraph"/>
        <w:numPr>
          <w:ilvl w:val="1"/>
          <w:numId w:val="2"/>
        </w:numPr>
        <w:spacing w:lineRule="auto" w:line="264"/>
        <w:rPr/>
      </w:pPr>
      <w:r>
        <w:rPr>
          <w:color w:val="000000"/>
          <w:sz w:val="21"/>
          <w:szCs w:val="21"/>
        </w:rPr>
        <w:t>Facilitar el encuentro intergeneracional entre mayores y jóvenes, con el enriquecimiento de perspectivas analíticas y vitales que ello conlleva.</w:t>
      </w:r>
    </w:p>
    <w:p>
      <w:pPr>
        <w:pStyle w:val="ListParagraph"/>
        <w:numPr>
          <w:ilvl w:val="1"/>
          <w:numId w:val="2"/>
        </w:numPr>
        <w:spacing w:lineRule="auto" w:line="264"/>
        <w:rPr/>
      </w:pPr>
      <w:r>
        <w:rPr>
          <w:color w:val="000000"/>
          <w:sz w:val="21"/>
          <w:szCs w:val="21"/>
        </w:rPr>
        <w:t>Fomentar el gusto por la lectura y el análisis crítico.</w:t>
      </w:r>
    </w:p>
    <w:p>
      <w:pPr>
        <w:pStyle w:val="Standard"/>
        <w:pBdr>
          <w:top w:val="single" w:sz="4" w:space="1" w:color="008080"/>
          <w:left w:val="single" w:sz="4" w:space="4" w:color="008080"/>
          <w:bottom w:val="single" w:sz="4" w:space="1" w:color="008080"/>
          <w:right w:val="single" w:sz="4" w:space="4" w:color="008080"/>
        </w:pBdr>
        <w:spacing w:lineRule="auto" w:line="264" w:before="240" w:after="120"/>
        <w:rPr>
          <w:color w:val="000000"/>
          <w:sz w:val="22"/>
          <w:szCs w:val="22"/>
        </w:rPr>
      </w:pPr>
      <w:r>
        <w:rPr>
          <w:color w:val="000000"/>
          <w:sz w:val="22"/>
          <w:szCs w:val="22"/>
        </w:rPr>
        <w:t>3. Contexto y participantes</w:t>
      </w:r>
    </w:p>
    <w:p>
      <w:pPr>
        <w:pStyle w:val="Standard"/>
        <w:spacing w:lineRule="auto" w:line="264"/>
        <w:rPr>
          <w:i/>
          <w:i/>
          <w:iCs/>
          <w:color w:val="000000"/>
          <w:sz w:val="21"/>
          <w:szCs w:val="21"/>
        </w:rPr>
      </w:pPr>
      <w:r>
        <w:rPr>
          <w:i/>
          <w:iCs/>
          <w:color w:val="000000"/>
          <w:sz w:val="21"/>
          <w:szCs w:val="21"/>
        </w:rPr>
        <w:t>¿Para quién?</w:t>
      </w:r>
    </w:p>
    <w:p>
      <w:pPr>
        <w:pStyle w:val="ListParagraph"/>
        <w:numPr>
          <w:ilvl w:val="0"/>
          <w:numId w:val="3"/>
        </w:numPr>
        <w:spacing w:lineRule="auto" w:line="264"/>
        <w:rPr/>
      </w:pPr>
      <w:r>
        <w:rPr>
          <w:color w:val="000000"/>
          <w:sz w:val="21"/>
          <w:szCs w:val="21"/>
        </w:rPr>
        <w:t xml:space="preserve">Enumeración del grupo o grupos de alumnos a los que se dirige la práctica: </w:t>
      </w:r>
      <w:r>
        <w:rPr>
          <w:color w:val="000000"/>
          <w:sz w:val="21"/>
          <w:szCs w:val="21"/>
        </w:rPr>
        <w:t>En un primer momento, esta práctica se llevó a cabo en una sesión con un grupo de 4º de ESO, auspiciado por el CSIC, sobre un texto de divulgación científica. La sesión no acabó de funcionar bien, pero se entrevió su potencialidad, por lo que repetimos, esta vez con literatura, con un grupo de alumnado en 1º de bach, que respondió muy favorablemente y quiso continuar todo el curso y luego en 2º de Bachillerato. Una vez graduados, se ha iniciado de nuevo, esta vez con un grupo de 2º. Por parte del centro de mayores, la actividad involucra a distintas personas que forman parte de dos clubs de lectura. Se unen a esta actividad de forma voluntaria</w:t>
      </w:r>
    </w:p>
    <w:p>
      <w:pPr>
        <w:pStyle w:val="ListParagraph"/>
        <w:numPr>
          <w:ilvl w:val="0"/>
          <w:numId w:val="3"/>
        </w:numPr>
        <w:spacing w:lineRule="auto" w:line="264"/>
        <w:rPr/>
      </w:pPr>
      <w:r>
        <w:rPr>
          <w:color w:val="000000"/>
          <w:sz w:val="21"/>
          <w:szCs w:val="21"/>
        </w:rPr>
        <w:t xml:space="preserve">Explicitación de los profesores y/o profesionales educativos implicados en la práctica: </w:t>
      </w:r>
      <w:r>
        <w:rPr>
          <w:color w:val="000000"/>
          <w:sz w:val="21"/>
          <w:szCs w:val="21"/>
        </w:rPr>
        <w:t>personal del centro de mayores (trabajadora social) y la profesora de lengua y literatura.</w:t>
      </w:r>
    </w:p>
    <w:p>
      <w:pPr>
        <w:pStyle w:val="Standard"/>
        <w:pBdr>
          <w:top w:val="single" w:sz="4" w:space="1" w:color="008080"/>
          <w:left w:val="single" w:sz="4" w:space="4" w:color="008080"/>
          <w:bottom w:val="single" w:sz="4" w:space="1" w:color="008080"/>
          <w:right w:val="single" w:sz="4" w:space="4" w:color="008080"/>
        </w:pBdr>
        <w:spacing w:lineRule="auto" w:line="264" w:before="240" w:after="120"/>
        <w:rPr>
          <w:color w:val="000000"/>
          <w:sz w:val="22"/>
          <w:szCs w:val="22"/>
        </w:rPr>
      </w:pPr>
      <w:r>
        <w:rPr>
          <w:color w:val="000000"/>
          <w:sz w:val="22"/>
          <w:szCs w:val="22"/>
        </w:rPr>
        <w:t>4. Descripción de la práctica</w:t>
      </w:r>
    </w:p>
    <w:p>
      <w:pPr>
        <w:pStyle w:val="Standard"/>
        <w:spacing w:lineRule="auto" w:line="264"/>
        <w:rPr>
          <w:i/>
          <w:i/>
          <w:iCs/>
          <w:color w:val="000000"/>
          <w:sz w:val="21"/>
          <w:szCs w:val="21"/>
        </w:rPr>
      </w:pPr>
      <w:r>
        <w:rPr>
          <w:i/>
          <w:iCs/>
          <w:color w:val="000000"/>
          <w:sz w:val="21"/>
          <w:szCs w:val="21"/>
        </w:rPr>
        <w:t>¿Cómo?</w:t>
      </w:r>
    </w:p>
    <w:p>
      <w:pPr>
        <w:pStyle w:val="ListParagraph"/>
        <w:numPr>
          <w:ilvl w:val="0"/>
          <w:numId w:val="4"/>
        </w:numPr>
        <w:spacing w:lineRule="auto" w:line="264"/>
        <w:rPr/>
      </w:pPr>
      <w:r>
        <w:rPr>
          <w:color w:val="000000"/>
          <w:sz w:val="21"/>
          <w:szCs w:val="21"/>
        </w:rPr>
        <w:t xml:space="preserve">Descripción sistemática de la secuencia de actividades desplegada para la consecución de la práctica. </w:t>
      </w:r>
      <w:r>
        <w:rPr>
          <w:color w:val="000000"/>
          <w:sz w:val="21"/>
          <w:szCs w:val="21"/>
        </w:rPr>
        <w:t>Primero se propone la lectura, que se corresponde con el currículo del curso implicado. Cada persona participante en la actividad lee el libro y selecciona aquellos fragmentos que quiere compartir con el resto. El día señalado, se establece una tertulia dialógica en torno a la obra, con participación de adolescentes y mayores en pie de igualdad.</w:t>
      </w:r>
    </w:p>
    <w:p>
      <w:pPr>
        <w:pStyle w:val="ListParagraph"/>
        <w:numPr>
          <w:ilvl w:val="0"/>
          <w:numId w:val="4"/>
        </w:numPr>
        <w:spacing w:lineRule="auto" w:line="264"/>
        <w:rPr/>
      </w:pPr>
      <w:r>
        <w:rPr>
          <w:color w:val="000000"/>
          <w:sz w:val="21"/>
          <w:szCs w:val="21"/>
        </w:rPr>
        <w:t xml:space="preserve">Secuencia de actividades: tiempo, espacio, metodología, contenidos y evaluación. </w:t>
      </w:r>
      <w:r>
        <w:rPr>
          <w:color w:val="000000"/>
          <w:sz w:val="21"/>
          <w:szCs w:val="21"/>
        </w:rPr>
        <w:t>Las sesiones de tertulia son de una hora y media, cuando involucran a 1º de bach, y de 50 minutos si involucran a 2º. Se llevan a cabo a veces en el salón de lectura del centro de mayores y otras veces en la biblioteca del instituto. Los contenidos dependen de la obra en cuestión, y se trabajan previa y posteriormente en el aula. Durante la tertulia, se exponen las opiniones de alumnado y mayores, con alguna puntualización breve de la profesora. La evaluación de la actividad ha sido cualitativa, basada en las opiniones de los participantes y de los profesionales relacionados. Muy buena acogida</w:t>
      </w:r>
    </w:p>
    <w:p>
      <w:pPr>
        <w:pStyle w:val="Standard"/>
        <w:pBdr>
          <w:top w:val="single" w:sz="4" w:space="1" w:color="008080"/>
          <w:left w:val="single" w:sz="4" w:space="4" w:color="008080"/>
          <w:bottom w:val="single" w:sz="4" w:space="1" w:color="008080"/>
          <w:right w:val="single" w:sz="4" w:space="4" w:color="008080"/>
        </w:pBdr>
        <w:spacing w:lineRule="auto" w:line="264" w:before="240" w:after="120"/>
        <w:rPr>
          <w:color w:val="000000"/>
          <w:sz w:val="22"/>
          <w:szCs w:val="22"/>
        </w:rPr>
      </w:pPr>
      <w:r>
        <w:rPr>
          <w:color w:val="000000"/>
          <w:sz w:val="22"/>
          <w:szCs w:val="22"/>
        </w:rPr>
        <w:t>5. Criterios y herramientas de observación y validación</w:t>
      </w:r>
    </w:p>
    <w:p>
      <w:pPr>
        <w:pStyle w:val="ListParagraph"/>
        <w:numPr>
          <w:ilvl w:val="0"/>
          <w:numId w:val="5"/>
        </w:numPr>
        <w:spacing w:lineRule="auto" w:line="264"/>
        <w:rPr/>
      </w:pPr>
      <w:r>
        <w:rPr>
          <w:color w:val="000000"/>
          <w:sz w:val="21"/>
          <w:szCs w:val="21"/>
        </w:rPr>
        <w:t xml:space="preserve">Enumeración los criterios de observación de la práctica. </w:t>
      </w:r>
      <w:r>
        <w:rPr>
          <w:color w:val="000000"/>
          <w:sz w:val="21"/>
          <w:szCs w:val="21"/>
        </w:rPr>
        <w:t xml:space="preserve">Esta es la parte de la práctica más floja, por falta de tiempo para preparar la sistematización. </w:t>
      </w:r>
    </w:p>
    <w:p>
      <w:pPr>
        <w:pStyle w:val="ListParagraph"/>
        <w:numPr>
          <w:ilvl w:val="0"/>
          <w:numId w:val="5"/>
        </w:numPr>
        <w:spacing w:lineRule="auto" w:line="264"/>
        <w:rPr/>
      </w:pPr>
      <w:r>
        <w:rPr>
          <w:color w:val="000000"/>
          <w:sz w:val="21"/>
          <w:szCs w:val="21"/>
        </w:rPr>
        <w:t xml:space="preserve">Explicitación de las herramientas utilizadas para la validación de la práctica (observación entre pares, video-feedback, diario del profesor, etc.). </w:t>
      </w:r>
      <w:r>
        <w:rPr>
          <w:color w:val="000000"/>
          <w:sz w:val="21"/>
          <w:szCs w:val="21"/>
        </w:rPr>
        <w:t>Se ha elaborado una encuesta final de satisfacción a los participantes y se recogía su parecer tras cada sesión.</w:t>
      </w:r>
    </w:p>
    <w:p>
      <w:pPr>
        <w:pStyle w:val="Standard"/>
        <w:pBdr>
          <w:top w:val="single" w:sz="4" w:space="2" w:color="008080"/>
          <w:left w:val="single" w:sz="4" w:space="4" w:color="008080"/>
          <w:bottom w:val="single" w:sz="4" w:space="1" w:color="008080"/>
          <w:right w:val="single" w:sz="4" w:space="4" w:color="008080"/>
        </w:pBdr>
        <w:spacing w:lineRule="auto" w:line="264" w:before="240" w:after="120"/>
        <w:rPr>
          <w:color w:val="000000"/>
          <w:sz w:val="22"/>
          <w:szCs w:val="22"/>
        </w:rPr>
      </w:pPr>
      <w:r>
        <w:rPr>
          <w:color w:val="000000"/>
          <w:sz w:val="22"/>
          <w:szCs w:val="22"/>
        </w:rPr>
        <w:t>6. Resultados y discusión</w:t>
        <w:tab/>
      </w:r>
    </w:p>
    <w:p>
      <w:pPr>
        <w:pStyle w:val="ListParagraph"/>
        <w:spacing w:lineRule="auto" w:line="264"/>
        <w:ind w:left="0" w:hanging="0"/>
        <w:rPr>
          <w:color w:val="000000"/>
          <w:sz w:val="21"/>
          <w:szCs w:val="21"/>
        </w:rPr>
      </w:pPr>
      <w:r>
        <w:rPr>
          <w:color w:val="000000"/>
          <w:sz w:val="21"/>
          <w:szCs w:val="21"/>
        </w:rPr>
        <w:t>Destacar los resultados más significativos respecto de los objetivos propuestos:</w:t>
      </w:r>
    </w:p>
    <w:p>
      <w:pPr>
        <w:pStyle w:val="ListParagraph"/>
        <w:numPr>
          <w:ilvl w:val="0"/>
          <w:numId w:val="6"/>
        </w:numPr>
        <w:spacing w:lineRule="auto" w:line="264"/>
        <w:rPr>
          <w:color w:val="000000"/>
          <w:sz w:val="21"/>
          <w:szCs w:val="21"/>
        </w:rPr>
      </w:pPr>
      <w:r>
        <w:rPr>
          <w:color w:val="000000"/>
          <w:sz w:val="21"/>
          <w:szCs w:val="21"/>
        </w:rPr>
        <w:t>de la práctica educativa,</w:t>
      </w:r>
    </w:p>
    <w:p>
      <w:pPr>
        <w:pStyle w:val="ListParagraph"/>
        <w:numPr>
          <w:ilvl w:val="0"/>
          <w:numId w:val="6"/>
        </w:numPr>
        <w:spacing w:lineRule="auto" w:line="264"/>
        <w:rPr/>
      </w:pPr>
      <w:r>
        <w:rPr>
          <w:color w:val="000000"/>
          <w:sz w:val="21"/>
          <w:szCs w:val="21"/>
        </w:rPr>
        <w:t xml:space="preserve">de los alumnos y su aprendizaje, </w:t>
      </w:r>
      <w:r>
        <w:rPr>
          <w:color w:val="000000"/>
          <w:sz w:val="21"/>
          <w:szCs w:val="21"/>
        </w:rPr>
        <w:t>la valoración de la actividad ha sido muy positiva. El alumnado manifiesta que le gusta sentirse escuchado, y aprender de otras visiones que aportan los mayores. En cuanto al aprendizaje generado, cabe decir que leían más las obras y no recurrían a resúmenes.</w:t>
      </w:r>
    </w:p>
    <w:p>
      <w:pPr>
        <w:pStyle w:val="ListParagraph"/>
        <w:numPr>
          <w:ilvl w:val="0"/>
          <w:numId w:val="6"/>
        </w:numPr>
        <w:spacing w:lineRule="auto" w:line="264"/>
        <w:rPr/>
      </w:pPr>
      <w:r>
        <w:rPr>
          <w:color w:val="000000"/>
          <w:sz w:val="21"/>
          <w:szCs w:val="21"/>
        </w:rPr>
        <w:t xml:space="preserve">de la práctica docente en alguna de sus dimensiones: vínculo, </w:t>
      </w:r>
      <w:r>
        <w:rPr>
          <w:i/>
          <w:iCs/>
          <w:color w:val="000000"/>
          <w:sz w:val="21"/>
          <w:szCs w:val="21"/>
        </w:rPr>
        <w:t>expertise</w:t>
      </w:r>
      <w:r>
        <w:rPr>
          <w:color w:val="000000"/>
          <w:sz w:val="21"/>
          <w:szCs w:val="21"/>
        </w:rPr>
        <w:t xml:space="preserve">, didáctica. </w:t>
      </w:r>
      <w:r>
        <w:rPr>
          <w:color w:val="000000"/>
          <w:sz w:val="21"/>
          <w:szCs w:val="21"/>
        </w:rPr>
        <w:t xml:space="preserve">He disfrutado muchísimo de la actividad, tanto a nivel profesional (ningún comentario de texto que yo pudiera proponen podía alcanzar la profundidad de estos coloquios) como a nivel humano. El alumnado y los mayores se vinculaban con las obras de formas que no podría haber imaginado de antemano. </w:t>
      </w:r>
    </w:p>
    <w:p>
      <w:pPr>
        <w:pStyle w:val="Standard"/>
        <w:pBdr>
          <w:top w:val="single" w:sz="4" w:space="2" w:color="008080"/>
          <w:left w:val="single" w:sz="4" w:space="4" w:color="008080"/>
          <w:bottom w:val="single" w:sz="4" w:space="1" w:color="008080"/>
          <w:right w:val="single" w:sz="4" w:space="4" w:color="008080"/>
        </w:pBdr>
        <w:spacing w:lineRule="auto" w:line="264" w:before="240" w:after="120"/>
        <w:rPr>
          <w:color w:val="000000"/>
          <w:sz w:val="22"/>
          <w:szCs w:val="22"/>
        </w:rPr>
      </w:pPr>
      <w:r>
        <w:rPr>
          <w:color w:val="000000"/>
          <w:sz w:val="22"/>
          <w:szCs w:val="22"/>
        </w:rPr>
        <w:t>7. Líneas de mejora y futuro</w:t>
        <w:tab/>
      </w:r>
    </w:p>
    <w:p>
      <w:pPr>
        <w:pStyle w:val="ListParagraph"/>
        <w:numPr>
          <w:ilvl w:val="0"/>
          <w:numId w:val="7"/>
        </w:numPr>
        <w:spacing w:lineRule="auto" w:line="264"/>
        <w:rPr/>
      </w:pPr>
      <w:r>
        <w:rPr>
          <w:color w:val="000000"/>
          <w:sz w:val="21"/>
          <w:szCs w:val="21"/>
        </w:rPr>
        <w:t xml:space="preserve">Proponer líneas de mejora con respecto a la práctica educativa ejecutada y observada. </w:t>
      </w:r>
      <w:r>
        <w:rPr>
          <w:color w:val="000000"/>
          <w:sz w:val="21"/>
          <w:szCs w:val="21"/>
        </w:rPr>
        <w:t>Resulta un reto generar mejor vínculo entre las personas participantes. Se generó un clima muy bueno, pero poca relación de intimidad. Sería positivo planificar mejor la generación del vínculo, con actividades específicas para ello.</w:t>
      </w:r>
    </w:p>
    <w:p>
      <w:pPr>
        <w:pStyle w:val="ListParagraph"/>
        <w:numPr>
          <w:ilvl w:val="0"/>
          <w:numId w:val="7"/>
        </w:numPr>
        <w:spacing w:lineRule="auto" w:line="264"/>
        <w:rPr/>
      </w:pPr>
      <w:r>
        <w:rPr>
          <w:color w:val="000000"/>
          <w:sz w:val="21"/>
          <w:szCs w:val="21"/>
        </w:rPr>
        <w:t xml:space="preserve">Explicitar algún reto futuro tanto para la práctica como para futuras implementaciones en otros centros. </w:t>
      </w:r>
      <w:r>
        <w:rPr>
          <w:color w:val="000000"/>
          <w:sz w:val="21"/>
          <w:szCs w:val="21"/>
        </w:rPr>
        <w:t>Los retos son, por un lado, cómo sortear las dificultades de 2º de bach, y cómo mantener los vínculos más allá de la graduación.</w:t>
      </w:r>
    </w:p>
    <w:p>
      <w:pPr>
        <w:pStyle w:val="ListParagraph"/>
        <w:tabs>
          <w:tab w:val="left" w:pos="4020" w:leader="none"/>
        </w:tabs>
        <w:spacing w:lineRule="auto" w:line="264"/>
        <w:ind w:left="0" w:hanging="0"/>
        <w:rPr>
          <w:color w:val="000000"/>
          <w:sz w:val="21"/>
          <w:szCs w:val="21"/>
        </w:rPr>
      </w:pPr>
      <w:r>
        <w:rPr>
          <w:color w:val="000000"/>
          <w:sz w:val="21"/>
          <w:szCs w:val="21"/>
        </w:rPr>
      </w:r>
    </w:p>
    <w:p>
      <w:pPr>
        <w:pStyle w:val="ListParagraph"/>
        <w:tabs>
          <w:tab w:val="left" w:pos="4020" w:leader="none"/>
        </w:tabs>
        <w:spacing w:lineRule="auto" w:line="264"/>
        <w:ind w:left="0" w:hanging="0"/>
        <w:rPr>
          <w:color w:val="000000"/>
          <w:sz w:val="21"/>
          <w:szCs w:val="21"/>
        </w:rPr>
      </w:pPr>
      <w:r>
        <w:rPr>
          <w:color w:val="000000"/>
          <w:sz w:val="21"/>
          <w:szCs w:val="21"/>
        </w:rPr>
      </w:r>
    </w:p>
    <w:p>
      <w:pPr>
        <w:pStyle w:val="Cabecera"/>
        <w:tabs>
          <w:tab w:val="left" w:pos="4020" w:leader="none"/>
        </w:tabs>
        <w:spacing w:lineRule="auto" w:line="264"/>
        <w:rPr>
          <w:color w:val="000000"/>
          <w:sz w:val="18"/>
          <w:szCs w:val="18"/>
        </w:rPr>
      </w:pPr>
      <w:r>
        <w:rPr>
          <w:color w:val="000000"/>
          <w:sz w:val="18"/>
          <w:szCs w:val="18"/>
        </w:rPr>
        <w:t>*El documento no deberá tener una extensión superior a dos folios.</w:t>
      </w:r>
      <w:bookmarkStart w:id="0" w:name="_GoBack"/>
      <w:bookmarkEnd w:id="0"/>
    </w:p>
    <w:p>
      <w:pPr>
        <w:pStyle w:val="Standard"/>
        <w:pBdr>
          <w:bottom w:val="single" w:sz="4" w:space="1" w:color="000000"/>
        </w:pBdr>
        <w:tabs>
          <w:tab w:val="left" w:pos="4020" w:leader="none"/>
        </w:tabs>
        <w:spacing w:lineRule="auto" w:line="264"/>
        <w:rPr/>
      </w:pPr>
      <w:r>
        <w:rPr/>
      </w:r>
    </w:p>
    <w:sectPr>
      <w:headerReference w:type="default" r:id="rId2"/>
      <w:footerReference w:type="default" r:id="rId3"/>
      <w:type w:val="nextPage"/>
      <w:pgSz w:w="11906" w:h="16838"/>
      <w:pgMar w:left="1134" w:right="1134" w:header="1134" w:top="1693"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Symbol">
    <w:charset w:val="01"/>
    <w:family w:val="swiss"/>
    <w:pitch w:val="default"/>
  </w:font>
  <w:font w:name="Courier New">
    <w:charset w:val="01"/>
    <w:family w:val="swiss"/>
    <w:pitch w:val="default"/>
  </w:font>
  <w:font w:name="Wingdings">
    <w:charset w:val="01"/>
    <w:family w:val="swiss"/>
    <w:pitch w:val="default"/>
  </w:font>
  <w:font w:name="OpenSymbol">
    <w:altName w:val="Arial Unicode MS"/>
    <w:charset w:val="01"/>
    <w:family w:val="swiss"/>
    <w:pitch w:val="default"/>
  </w:font>
  <w:font w:name="Arial">
    <w:charset w:val="01"/>
    <w:family w:val="swiss"/>
    <w:pitch w:val="default"/>
  </w:font>
  <w:font w:name="Verdana">
    <w:charset w:val="01"/>
    <w:family w:val="swiss"/>
    <w:pitch w:val="default"/>
  </w:font>
  <w:font w:name="Monaco">
    <w:charset w:val="01"/>
    <w:family w:val="swiss"/>
    <w:pitch w:val="default"/>
  </w:font>
  <w:font w:name="Symbol">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p>
    <w:pPr>
      <w:pStyle w:val="Piedepgina"/>
      <w:spacing w:before="120" w:after="0"/>
      <w:rPr>
        <w:rFonts w:cs="Times New Roman"/>
        <w:sz w:val="18"/>
        <w:szCs w:val="18"/>
      </w:rPr>
    </w:pPr>
    <w:r>
      <w:drawing>
        <wp:anchor behindDoc="1" distT="0" distB="5715" distL="114300" distR="114300" simplePos="0" locked="0" layoutInCell="1" allowOverlap="1" relativeHeight="5">
          <wp:simplePos x="0" y="0"/>
          <wp:positionH relativeFrom="margin">
            <wp:posOffset>165735</wp:posOffset>
          </wp:positionH>
          <wp:positionV relativeFrom="paragraph">
            <wp:posOffset>19685</wp:posOffset>
          </wp:positionV>
          <wp:extent cx="1018540" cy="356235"/>
          <wp:effectExtent l="0" t="0" r="0" b="0"/>
          <wp:wrapSquare wrapText="bothSides"/>
          <wp:docPr id="2"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
                  <pic:cNvPicPr>
                    <a:picLocks noChangeAspect="1" noChangeArrowheads="1"/>
                  </pic:cNvPicPr>
                </pic:nvPicPr>
                <pic:blipFill>
                  <a:blip r:embed="rId1"/>
                  <a:stretch>
                    <a:fillRect/>
                  </a:stretch>
                </pic:blipFill>
                <pic:spPr bwMode="auto">
                  <a:xfrm>
                    <a:off x="0" y="0"/>
                    <a:ext cx="1018540" cy="356235"/>
                  </a:xfrm>
                  <a:prstGeom prst="rect">
                    <a:avLst/>
                  </a:prstGeom>
                </pic:spPr>
              </pic:pic>
            </a:graphicData>
          </a:graphic>
        </wp:anchor>
      </w:drawing>
    </w:r>
    <w:r>
      <w:rPr>
        <w:rFonts w:cs="Times New Roman"/>
        <w:sz w:val="18"/>
        <w:szCs w:val="18"/>
      </w:rPr>
      <w:t>E</w:t>
    </w:r>
    <w:r>
      <w:rPr>
        <w:rFonts w:cs="Times New Roman"/>
        <w:sz w:val="18"/>
        <w:szCs w:val="18"/>
      </w:rPr>
      <w:t>sta práctica educativa está sujeta como obra a la Licencia Reconocimiento-NoComercial-CompartirIgual 4.0 Internacional de Creative Commons.</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rFonts w:ascii="Monaco" w:hAnsi="Monaco"/>
        <w:color w:val="000000"/>
        <w:sz w:val="16"/>
        <w:szCs w:val="16"/>
      </w:rPr>
    </w:pPr>
    <w:r>
      <w:rPr>
        <w:rFonts w:ascii="Monaco" w:hAnsi="Monaco"/>
        <w:color w:val="000000"/>
        <w:sz w:val="16"/>
        <w:szCs w:val="16"/>
      </w:rPr>
      <w:drawing>
        <wp:anchor behindDoc="1" distT="0" distB="4445" distL="114300" distR="0" simplePos="0" locked="0" layoutInCell="1" allowOverlap="1" relativeHeight="3">
          <wp:simplePos x="0" y="0"/>
          <wp:positionH relativeFrom="margin">
            <wp:align>right</wp:align>
          </wp:positionH>
          <wp:positionV relativeFrom="margin">
            <wp:posOffset>-906780</wp:posOffset>
          </wp:positionV>
          <wp:extent cx="946785" cy="720090"/>
          <wp:effectExtent l="0" t="0" r="0" b="0"/>
          <wp:wrapNone/>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1"/>
                  <a:stretch>
                    <a:fillRect/>
                  </a:stretch>
                </pic:blipFill>
                <pic:spPr bwMode="auto">
                  <a:xfrm>
                    <a:off x="0" y="0"/>
                    <a:ext cx="946785" cy="720090"/>
                  </a:xfrm>
                  <a:prstGeom prst="rect">
                    <a:avLst/>
                  </a:prstGeom>
                </pic:spPr>
              </pic:pic>
            </a:graphicData>
          </a:graphic>
        </wp:anchor>
      </w:drawing>
    </w:r>
  </w:p>
  <w:p>
    <w:pPr>
      <w:pStyle w:val="Cabecera"/>
      <w:rPr>
        <w:rFonts w:ascii="Monaco" w:hAnsi="Monaco"/>
        <w:color w:val="000000"/>
        <w:sz w:val="16"/>
        <w:szCs w:val="16"/>
      </w:rPr>
    </w:pPr>
    <w:r>
      <w:rPr>
        <w:rFonts w:ascii="Monaco" w:hAnsi="Monaco"/>
        <w:color w:val="000000"/>
        <w:sz w:val="16"/>
        <w:szCs w:val="16"/>
      </w:rPr>
      <w:t>Práctica educativa – 3ª Jornada Pensadero de maestros</w:t>
    </w:r>
  </w:p>
  <w:p>
    <w:pPr>
      <w:pStyle w:val="Cabecera"/>
      <w:rPr>
        <w:rFonts w:ascii="Monaco" w:hAnsi="Monaco"/>
        <w:color w:val="000000"/>
        <w:sz w:val="16"/>
        <w:szCs w:val="16"/>
      </w:rPr>
    </w:pPr>
    <w:r>
      <w:rPr>
        <w:rFonts w:ascii="Monaco" w:hAnsi="Monaco"/>
        <w:color w:val="000000"/>
        <w:sz w:val="16"/>
        <w:szCs w:val="16"/>
      </w:rPr>
    </w:r>
  </w:p>
  <w:p>
    <w:pPr>
      <w:pStyle w:val="Cabecera"/>
      <w:rPr>
        <w:rFonts w:ascii="Monaco" w:hAnsi="Monaco"/>
        <w:color w:val="000000"/>
        <w:sz w:val="16"/>
        <w:szCs w:val="16"/>
      </w:rPr>
    </w:pPr>
    <w:r>
      <w:rPr>
        <w:rFonts w:ascii="Monaco" w:hAnsi="Monaco"/>
        <w:color w:val="000000"/>
        <w:sz w:val="16"/>
        <w:szCs w:val="16"/>
      </w:rPr>
    </w:r>
  </w:p>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1"/>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2">
    <w:lvl w:ilvl="0">
      <w:start w:val="1"/>
      <w:numFmt w:val="bullet"/>
      <w:lvlText w:val=""/>
      <w:lvlJc w:val="left"/>
      <w:pPr>
        <w:ind w:left="720" w:hanging="360"/>
      </w:pPr>
      <w:rPr>
        <w:rFonts w:ascii="Symbol" w:hAnsi="Symbol" w:cs="Symbol" w:hint="default"/>
        <w:sz w:val="21"/>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3">
    <w:lvl w:ilvl="0">
      <w:start w:val="1"/>
      <w:numFmt w:val="bullet"/>
      <w:lvlText w:val=""/>
      <w:lvlJc w:val="left"/>
      <w:pPr>
        <w:ind w:left="720" w:hanging="360"/>
      </w:pPr>
      <w:rPr>
        <w:rFonts w:ascii="Symbol" w:hAnsi="Symbol" w:cs="Symbol" w:hint="default"/>
        <w:sz w:val="21"/>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4">
    <w:lvl w:ilvl="0">
      <w:start w:val="1"/>
      <w:numFmt w:val="bullet"/>
      <w:lvlText w:val=""/>
      <w:lvlJc w:val="left"/>
      <w:pPr>
        <w:ind w:left="720" w:hanging="360"/>
      </w:pPr>
      <w:rPr>
        <w:rFonts w:ascii="Symbol" w:hAnsi="Symbol" w:cs="Symbol" w:hint="default"/>
        <w:sz w:val="21"/>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5">
    <w:lvl w:ilvl="0">
      <w:start w:val="1"/>
      <w:numFmt w:val="bullet"/>
      <w:lvlText w:val=""/>
      <w:lvlJc w:val="left"/>
      <w:pPr>
        <w:ind w:left="720" w:hanging="360"/>
      </w:pPr>
      <w:rPr>
        <w:rFonts w:ascii="Symbol" w:hAnsi="Symbol" w:cs="Symbol" w:hint="default"/>
        <w:sz w:val="21"/>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6">
    <w:lvl w:ilvl="0">
      <w:start w:val="1"/>
      <w:numFmt w:val="bullet"/>
      <w:lvlText w:val=""/>
      <w:lvlJc w:val="left"/>
      <w:pPr>
        <w:ind w:left="720" w:hanging="360"/>
      </w:pPr>
      <w:rPr>
        <w:rFonts w:ascii="Symbol" w:hAnsi="Symbol" w:cs="Symbol" w:hint="default"/>
        <w:sz w:val="21"/>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7">
    <w:lvl w:ilvl="0">
      <w:start w:val="1"/>
      <w:numFmt w:val="bullet"/>
      <w:lvlText w:val=""/>
      <w:lvlJc w:val="left"/>
      <w:pPr>
        <w:ind w:left="720" w:hanging="360"/>
      </w:pPr>
      <w:rPr>
        <w:rFonts w:ascii="Symbol" w:hAnsi="Symbol" w:cs="Symbol" w:hint="default"/>
        <w:sz w:val="21"/>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es-ES"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textAlignment w:val="baseline"/>
    </w:pPr>
    <w:rPr>
      <w:rFonts w:ascii="Times New Roman" w:hAnsi="Times New Roman" w:eastAsia="SimSun" w:cs="Lucida Sans"/>
      <w:color w:val="auto"/>
      <w:kern w:val="2"/>
      <w:sz w:val="24"/>
      <w:szCs w:val="24"/>
      <w:lang w:val="es-ES"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cs="Symbol"/>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WW8Num2z0" w:customStyle="1">
    <w:name w:val="WW8Num2z0"/>
    <w:qFormat/>
    <w:rPr>
      <w:rFonts w:ascii="Symbol" w:hAnsi="Symbol" w:cs="Symbol"/>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0" w:customStyle="1">
    <w:name w:val="WW8Num3z0"/>
    <w:qFormat/>
    <w:rPr>
      <w:rFonts w:ascii="Symbol" w:hAnsi="Symbol" w:cs="Symbol"/>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ascii="Symbol" w:hAnsi="Symbol" w:cs="Symbol"/>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ListLabel1" w:customStyle="1">
    <w:name w:val="ListLabel 1"/>
    <w:qFormat/>
    <w:rPr>
      <w:rFonts w:cs="Courier New"/>
    </w:rPr>
  </w:style>
  <w:style w:type="character" w:styleId="Vietas" w:customStyle="1">
    <w:name w:val="Viñetas"/>
    <w:qFormat/>
    <w:rPr>
      <w:rFonts w:ascii="OpenSymbol" w:hAnsi="OpenSymbol" w:eastAsia="OpenSymbol" w:cs="OpenSymbol"/>
    </w:rPr>
  </w:style>
  <w:style w:type="character" w:styleId="Smbolosdenumeracin" w:customStyle="1">
    <w:name w:val="Símbolos de numeración"/>
    <w:qFormat/>
    <w:rPr/>
  </w:style>
  <w:style w:type="character" w:styleId="ListLabel2">
    <w:name w:val="ListLabel 2"/>
    <w:qFormat/>
    <w:rPr>
      <w:rFonts w:cs="Symbol"/>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eastAsia="OpenSymbol" w:cs="OpenSymbol"/>
      <w:sz w:val="21"/>
    </w:rPr>
  </w:style>
  <w:style w:type="character" w:styleId="ListLabel39">
    <w:name w:val="ListLabel 39"/>
    <w:qFormat/>
    <w:rPr>
      <w:rFonts w:eastAsia="OpenSymbol" w:cs="OpenSymbol"/>
    </w:rPr>
  </w:style>
  <w:style w:type="character" w:styleId="ListLabel40">
    <w:name w:val="ListLabel 40"/>
    <w:qFormat/>
    <w:rPr>
      <w:rFonts w:eastAsia="OpenSymbol" w:cs="OpenSymbol"/>
    </w:rPr>
  </w:style>
  <w:style w:type="character" w:styleId="ListLabel41">
    <w:name w:val="ListLabel 41"/>
    <w:qFormat/>
    <w:rPr>
      <w:rFonts w:eastAsia="OpenSymbol" w:cs="OpenSymbol"/>
    </w:rPr>
  </w:style>
  <w:style w:type="character" w:styleId="ListLabel42">
    <w:name w:val="ListLabel 42"/>
    <w:qFormat/>
    <w:rPr>
      <w:rFonts w:eastAsia="OpenSymbol" w:cs="OpenSymbol"/>
    </w:rPr>
  </w:style>
  <w:style w:type="character" w:styleId="ListLabel43">
    <w:name w:val="ListLabel 43"/>
    <w:qFormat/>
    <w:rPr>
      <w:rFonts w:eastAsia="OpenSymbol" w:cs="OpenSymbol"/>
    </w:rPr>
  </w:style>
  <w:style w:type="character" w:styleId="ListLabel44">
    <w:name w:val="ListLabel 44"/>
    <w:qFormat/>
    <w:rPr>
      <w:rFonts w:eastAsia="OpenSymbol" w:cs="OpenSymbol"/>
    </w:rPr>
  </w:style>
  <w:style w:type="character" w:styleId="ListLabel45">
    <w:name w:val="ListLabel 45"/>
    <w:qFormat/>
    <w:rPr>
      <w:rFonts w:eastAsia="OpenSymbol" w:cs="OpenSymbol"/>
    </w:rPr>
  </w:style>
  <w:style w:type="character" w:styleId="ListLabel46">
    <w:name w:val="ListLabel 46"/>
    <w:qFormat/>
    <w:rPr>
      <w:rFonts w:eastAsia="OpenSymbol" w:cs="OpenSymbol"/>
    </w:rPr>
  </w:style>
  <w:style w:type="character" w:styleId="ListLabel47">
    <w:name w:val="ListLabel 47"/>
    <w:qFormat/>
    <w:rPr>
      <w:rFonts w:eastAsia="OpenSymbol" w:cs="OpenSymbol"/>
      <w:sz w:val="21"/>
    </w:rPr>
  </w:style>
  <w:style w:type="character" w:styleId="ListLabel48">
    <w:name w:val="ListLabel 48"/>
    <w:qFormat/>
    <w:rPr>
      <w:rFonts w:eastAsia="OpenSymbol" w:cs="OpenSymbol"/>
    </w:rPr>
  </w:style>
  <w:style w:type="character" w:styleId="ListLabel49">
    <w:name w:val="ListLabel 49"/>
    <w:qFormat/>
    <w:rPr>
      <w:rFonts w:eastAsia="OpenSymbol" w:cs="OpenSymbol"/>
    </w:rPr>
  </w:style>
  <w:style w:type="character" w:styleId="ListLabel50">
    <w:name w:val="ListLabel 50"/>
    <w:qFormat/>
    <w:rPr>
      <w:rFonts w:eastAsia="OpenSymbol" w:cs="OpenSymbol"/>
    </w:rPr>
  </w:style>
  <w:style w:type="character" w:styleId="ListLabel51">
    <w:name w:val="ListLabel 51"/>
    <w:qFormat/>
    <w:rPr>
      <w:rFonts w:eastAsia="OpenSymbol" w:cs="OpenSymbol"/>
    </w:rPr>
  </w:style>
  <w:style w:type="character" w:styleId="ListLabel52">
    <w:name w:val="ListLabel 52"/>
    <w:qFormat/>
    <w:rPr>
      <w:rFonts w:eastAsia="OpenSymbol" w:cs="OpenSymbol"/>
    </w:rPr>
  </w:style>
  <w:style w:type="character" w:styleId="ListLabel53">
    <w:name w:val="ListLabel 53"/>
    <w:qFormat/>
    <w:rPr>
      <w:rFonts w:eastAsia="OpenSymbol" w:cs="OpenSymbol"/>
    </w:rPr>
  </w:style>
  <w:style w:type="character" w:styleId="ListLabel54">
    <w:name w:val="ListLabel 54"/>
    <w:qFormat/>
    <w:rPr>
      <w:rFonts w:eastAsia="OpenSymbol" w:cs="OpenSymbol"/>
    </w:rPr>
  </w:style>
  <w:style w:type="character" w:styleId="ListLabel55">
    <w:name w:val="ListLabel 55"/>
    <w:qFormat/>
    <w:rPr>
      <w:rFonts w:eastAsia="OpenSymbol" w:cs="OpenSymbol"/>
    </w:rPr>
  </w:style>
  <w:style w:type="character" w:styleId="ListLabel56">
    <w:name w:val="ListLabel 56"/>
    <w:qFormat/>
    <w:rPr>
      <w:rFonts w:eastAsia="OpenSymbol" w:cs="OpenSymbol"/>
      <w:sz w:val="21"/>
    </w:rPr>
  </w:style>
  <w:style w:type="character" w:styleId="ListLabel57">
    <w:name w:val="ListLabel 57"/>
    <w:qFormat/>
    <w:rPr>
      <w:rFonts w:eastAsia="OpenSymbol" w:cs="OpenSymbol"/>
    </w:rPr>
  </w:style>
  <w:style w:type="character" w:styleId="ListLabel58">
    <w:name w:val="ListLabel 58"/>
    <w:qFormat/>
    <w:rPr>
      <w:rFonts w:eastAsia="OpenSymbol" w:cs="OpenSymbol"/>
    </w:rPr>
  </w:style>
  <w:style w:type="character" w:styleId="ListLabel59">
    <w:name w:val="ListLabel 59"/>
    <w:qFormat/>
    <w:rPr>
      <w:rFonts w:eastAsia="OpenSymbol" w:cs="OpenSymbol"/>
    </w:rPr>
  </w:style>
  <w:style w:type="character" w:styleId="ListLabel60">
    <w:name w:val="ListLabel 60"/>
    <w:qFormat/>
    <w:rPr>
      <w:rFonts w:eastAsia="OpenSymbol" w:cs="OpenSymbol"/>
    </w:rPr>
  </w:style>
  <w:style w:type="character" w:styleId="ListLabel61">
    <w:name w:val="ListLabel 61"/>
    <w:qFormat/>
    <w:rPr>
      <w:rFonts w:eastAsia="OpenSymbol" w:cs="OpenSymbol"/>
    </w:rPr>
  </w:style>
  <w:style w:type="character" w:styleId="ListLabel62">
    <w:name w:val="ListLabel 62"/>
    <w:qFormat/>
    <w:rPr>
      <w:rFonts w:eastAsia="OpenSymbol" w:cs="OpenSymbol"/>
    </w:rPr>
  </w:style>
  <w:style w:type="character" w:styleId="ListLabel63">
    <w:name w:val="ListLabel 63"/>
    <w:qFormat/>
    <w:rPr>
      <w:rFonts w:eastAsia="OpenSymbol" w:cs="OpenSymbol"/>
    </w:rPr>
  </w:style>
  <w:style w:type="character" w:styleId="ListLabel64">
    <w:name w:val="ListLabel 64"/>
    <w:qFormat/>
    <w:rPr>
      <w:rFonts w:eastAsia="OpenSymbol" w:cs="OpenSymbol"/>
    </w:rPr>
  </w:style>
  <w:style w:type="character" w:styleId="ListLabel65">
    <w:name w:val="ListLabel 65"/>
    <w:qFormat/>
    <w:rPr>
      <w:rFonts w:eastAsia="OpenSymbol" w:cs="OpenSymbol"/>
      <w:sz w:val="21"/>
    </w:rPr>
  </w:style>
  <w:style w:type="character" w:styleId="ListLabel66">
    <w:name w:val="ListLabel 66"/>
    <w:qFormat/>
    <w:rPr>
      <w:rFonts w:eastAsia="OpenSymbol" w:cs="OpenSymbol"/>
    </w:rPr>
  </w:style>
  <w:style w:type="character" w:styleId="ListLabel67">
    <w:name w:val="ListLabel 67"/>
    <w:qFormat/>
    <w:rPr>
      <w:rFonts w:eastAsia="OpenSymbol" w:cs="OpenSymbol"/>
    </w:rPr>
  </w:style>
  <w:style w:type="character" w:styleId="ListLabel68">
    <w:name w:val="ListLabel 68"/>
    <w:qFormat/>
    <w:rPr>
      <w:rFonts w:eastAsia="OpenSymbol" w:cs="OpenSymbol"/>
    </w:rPr>
  </w:style>
  <w:style w:type="character" w:styleId="ListLabel69">
    <w:name w:val="ListLabel 69"/>
    <w:qFormat/>
    <w:rPr>
      <w:rFonts w:eastAsia="OpenSymbol" w:cs="OpenSymbol"/>
    </w:rPr>
  </w:style>
  <w:style w:type="character" w:styleId="ListLabel70">
    <w:name w:val="ListLabel 70"/>
    <w:qFormat/>
    <w:rPr>
      <w:rFonts w:eastAsia="OpenSymbol" w:cs="OpenSymbol"/>
    </w:rPr>
  </w:style>
  <w:style w:type="character" w:styleId="ListLabel71">
    <w:name w:val="ListLabel 71"/>
    <w:qFormat/>
    <w:rPr>
      <w:rFonts w:eastAsia="OpenSymbol" w:cs="OpenSymbol"/>
    </w:rPr>
  </w:style>
  <w:style w:type="character" w:styleId="ListLabel72">
    <w:name w:val="ListLabel 72"/>
    <w:qFormat/>
    <w:rPr>
      <w:rFonts w:eastAsia="OpenSymbol" w:cs="OpenSymbol"/>
    </w:rPr>
  </w:style>
  <w:style w:type="character" w:styleId="ListLabel73">
    <w:name w:val="ListLabel 73"/>
    <w:qFormat/>
    <w:rPr>
      <w:rFonts w:eastAsia="OpenSymbol" w:cs="OpenSymbol"/>
    </w:rPr>
  </w:style>
  <w:style w:type="character" w:styleId="ListLabel74">
    <w:name w:val="ListLabel 74"/>
    <w:qFormat/>
    <w:rPr>
      <w:rFonts w:eastAsia="OpenSymbol" w:cs="OpenSymbol"/>
      <w:sz w:val="21"/>
    </w:rPr>
  </w:style>
  <w:style w:type="character" w:styleId="ListLabel75">
    <w:name w:val="ListLabel 75"/>
    <w:qFormat/>
    <w:rPr>
      <w:rFonts w:eastAsia="OpenSymbol" w:cs="OpenSymbol"/>
    </w:rPr>
  </w:style>
  <w:style w:type="character" w:styleId="ListLabel76">
    <w:name w:val="ListLabel 76"/>
    <w:qFormat/>
    <w:rPr>
      <w:rFonts w:eastAsia="OpenSymbol" w:cs="OpenSymbol"/>
    </w:rPr>
  </w:style>
  <w:style w:type="character" w:styleId="ListLabel77">
    <w:name w:val="ListLabel 77"/>
    <w:qFormat/>
    <w:rPr>
      <w:rFonts w:eastAsia="OpenSymbol" w:cs="OpenSymbol"/>
    </w:rPr>
  </w:style>
  <w:style w:type="character" w:styleId="ListLabel78">
    <w:name w:val="ListLabel 78"/>
    <w:qFormat/>
    <w:rPr>
      <w:rFonts w:eastAsia="OpenSymbol" w:cs="OpenSymbol"/>
    </w:rPr>
  </w:style>
  <w:style w:type="character" w:styleId="ListLabel79">
    <w:name w:val="ListLabel 79"/>
    <w:qFormat/>
    <w:rPr>
      <w:rFonts w:eastAsia="OpenSymbol" w:cs="OpenSymbol"/>
    </w:rPr>
  </w:style>
  <w:style w:type="character" w:styleId="ListLabel80">
    <w:name w:val="ListLabel 80"/>
    <w:qFormat/>
    <w:rPr>
      <w:rFonts w:eastAsia="OpenSymbol" w:cs="OpenSymbol"/>
    </w:rPr>
  </w:style>
  <w:style w:type="character" w:styleId="ListLabel81">
    <w:name w:val="ListLabel 81"/>
    <w:qFormat/>
    <w:rPr>
      <w:rFonts w:eastAsia="OpenSymbol" w:cs="OpenSymbol"/>
    </w:rPr>
  </w:style>
  <w:style w:type="character" w:styleId="ListLabel82">
    <w:name w:val="ListLabel 82"/>
    <w:qFormat/>
    <w:rPr>
      <w:rFonts w:eastAsia="OpenSymbol" w:cs="OpenSymbol"/>
    </w:rPr>
  </w:style>
  <w:style w:type="character" w:styleId="ListLabel83">
    <w:name w:val="ListLabel 83"/>
    <w:qFormat/>
    <w:rPr>
      <w:rFonts w:eastAsia="OpenSymbol" w:cs="OpenSymbol"/>
      <w:sz w:val="21"/>
    </w:rPr>
  </w:style>
  <w:style w:type="character" w:styleId="ListLabel84">
    <w:name w:val="ListLabel 84"/>
    <w:qFormat/>
    <w:rPr>
      <w:rFonts w:eastAsia="OpenSymbol" w:cs="OpenSymbol"/>
    </w:rPr>
  </w:style>
  <w:style w:type="character" w:styleId="ListLabel85">
    <w:name w:val="ListLabel 85"/>
    <w:qFormat/>
    <w:rPr>
      <w:rFonts w:eastAsia="OpenSymbol" w:cs="OpenSymbol"/>
    </w:rPr>
  </w:style>
  <w:style w:type="character" w:styleId="ListLabel86">
    <w:name w:val="ListLabel 86"/>
    <w:qFormat/>
    <w:rPr>
      <w:rFonts w:eastAsia="OpenSymbol" w:cs="OpenSymbol"/>
    </w:rPr>
  </w:style>
  <w:style w:type="character" w:styleId="ListLabel87">
    <w:name w:val="ListLabel 87"/>
    <w:qFormat/>
    <w:rPr>
      <w:rFonts w:eastAsia="OpenSymbol" w:cs="OpenSymbol"/>
    </w:rPr>
  </w:style>
  <w:style w:type="character" w:styleId="ListLabel88">
    <w:name w:val="ListLabel 88"/>
    <w:qFormat/>
    <w:rPr>
      <w:rFonts w:eastAsia="OpenSymbol" w:cs="OpenSymbol"/>
    </w:rPr>
  </w:style>
  <w:style w:type="character" w:styleId="ListLabel89">
    <w:name w:val="ListLabel 89"/>
    <w:qFormat/>
    <w:rPr>
      <w:rFonts w:eastAsia="OpenSymbol" w:cs="OpenSymbol"/>
    </w:rPr>
  </w:style>
  <w:style w:type="character" w:styleId="ListLabel90">
    <w:name w:val="ListLabel 90"/>
    <w:qFormat/>
    <w:rPr>
      <w:rFonts w:eastAsia="OpenSymbol" w:cs="OpenSymbol"/>
    </w:rPr>
  </w:style>
  <w:style w:type="character" w:styleId="ListLabel91">
    <w:name w:val="ListLabel 91"/>
    <w:qFormat/>
    <w:rPr>
      <w:rFonts w:eastAsia="OpenSymbol" w:cs="OpenSymbol"/>
    </w:rPr>
  </w:style>
  <w:style w:type="character" w:styleId="ListLabel92">
    <w:name w:val="ListLabel 92"/>
    <w:qFormat/>
    <w:rPr>
      <w:rFonts w:eastAsia="OpenSymbol" w:cs="OpenSymbol"/>
      <w:sz w:val="21"/>
    </w:rPr>
  </w:style>
  <w:style w:type="character" w:styleId="ListLabel93">
    <w:name w:val="ListLabel 93"/>
    <w:qFormat/>
    <w:rPr>
      <w:rFonts w:eastAsia="OpenSymbol" w:cs="OpenSymbol"/>
    </w:rPr>
  </w:style>
  <w:style w:type="character" w:styleId="ListLabel94">
    <w:name w:val="ListLabel 94"/>
    <w:qFormat/>
    <w:rPr>
      <w:rFonts w:eastAsia="OpenSymbol" w:cs="OpenSymbol"/>
    </w:rPr>
  </w:style>
  <w:style w:type="character" w:styleId="ListLabel95">
    <w:name w:val="ListLabel 95"/>
    <w:qFormat/>
    <w:rPr>
      <w:rFonts w:eastAsia="OpenSymbol" w:cs="OpenSymbol"/>
    </w:rPr>
  </w:style>
  <w:style w:type="character" w:styleId="ListLabel96">
    <w:name w:val="ListLabel 96"/>
    <w:qFormat/>
    <w:rPr>
      <w:rFonts w:eastAsia="OpenSymbol" w:cs="OpenSymbol"/>
    </w:rPr>
  </w:style>
  <w:style w:type="character" w:styleId="ListLabel97">
    <w:name w:val="ListLabel 97"/>
    <w:qFormat/>
    <w:rPr>
      <w:rFonts w:eastAsia="OpenSymbol" w:cs="OpenSymbol"/>
    </w:rPr>
  </w:style>
  <w:style w:type="character" w:styleId="ListLabel98">
    <w:name w:val="ListLabel 98"/>
    <w:qFormat/>
    <w:rPr>
      <w:rFonts w:eastAsia="OpenSymbol" w:cs="OpenSymbol"/>
    </w:rPr>
  </w:style>
  <w:style w:type="character" w:styleId="ListLabel99">
    <w:name w:val="ListLabel 99"/>
    <w:qFormat/>
    <w:rPr>
      <w:rFonts w:eastAsia="OpenSymbol" w:cs="OpenSymbol"/>
    </w:rPr>
  </w:style>
  <w:style w:type="character" w:styleId="ListLabel100">
    <w:name w:val="ListLabel 100"/>
    <w:qFormat/>
    <w:rPr>
      <w:rFonts w:eastAsia="OpenSymbol" w:cs="OpenSymbol"/>
    </w:rPr>
  </w:style>
  <w:style w:type="paragraph" w:styleId="Ttulo" w:customStyle="1">
    <w:name w:val="Título"/>
    <w:basedOn w:val="Standard"/>
    <w:next w:val="Cuerpodetexto"/>
    <w:qFormat/>
    <w:pPr>
      <w:keepNext w:val="true"/>
      <w:spacing w:before="240" w:after="120"/>
    </w:pPr>
    <w:rPr>
      <w:rFonts w:ascii="Arial" w:hAnsi="Arial" w:eastAsia="Microsoft YaHei"/>
      <w:sz w:val="28"/>
      <w:szCs w:val="28"/>
    </w:rPr>
  </w:style>
  <w:style w:type="paragraph" w:styleId="Cuerpodetexto">
    <w:name w:val="Body Text"/>
    <w:basedOn w:val="Normal"/>
    <w:pPr>
      <w:spacing w:lineRule="auto" w:line="276" w:before="0" w:after="140"/>
    </w:pPr>
    <w:rPr/>
  </w:style>
  <w:style w:type="paragraph" w:styleId="Lista">
    <w:name w:val="List"/>
    <w:basedOn w:val="Textbody"/>
    <w:pPr/>
    <w:rPr/>
  </w:style>
  <w:style w:type="paragraph" w:styleId="Leyenda">
    <w:name w:val="Caption"/>
    <w:basedOn w:val="Normal"/>
    <w:qFormat/>
    <w:pPr>
      <w:suppressLineNumbers/>
      <w:spacing w:before="120" w:after="120"/>
    </w:pPr>
    <w:rPr>
      <w:rFonts w:ascii="Verdana" w:hAnsi="Verdana" w:cs="Lohit Devanagari"/>
      <w:i/>
      <w:iCs/>
      <w:sz w:val="18"/>
      <w:szCs w:val="24"/>
    </w:rPr>
  </w:style>
  <w:style w:type="paragraph" w:styleId="Ndice" w:customStyle="1">
    <w:name w:val="Índice"/>
    <w:basedOn w:val="Standard"/>
    <w:qFormat/>
    <w:pPr>
      <w:suppressLineNumbers/>
    </w:pPr>
    <w:rPr/>
  </w:style>
  <w:style w:type="paragraph" w:styleId="Standard" w:customStyle="1">
    <w:name w:val="Standard"/>
    <w:qFormat/>
    <w:pPr>
      <w:widowControl/>
      <w:suppressAutoHyphens w:val="true"/>
      <w:bidi w:val="0"/>
      <w:jc w:val="left"/>
    </w:pPr>
    <w:rPr>
      <w:rFonts w:eastAsia="SimSun, 宋体" w:ascii="Times New Roman" w:hAnsi="Times New Roman" w:cs="Lucida Sans"/>
      <w:color w:val="auto"/>
      <w:kern w:val="2"/>
      <w:sz w:val="24"/>
      <w:szCs w:val="24"/>
      <w:lang w:val="es-ES" w:eastAsia="zh-CN" w:bidi="hi-IN"/>
    </w:rPr>
  </w:style>
  <w:style w:type="paragraph" w:styleId="Textbody" w:customStyle="1">
    <w:name w:val="Text body"/>
    <w:basedOn w:val="Standard"/>
    <w:qFormat/>
    <w:pPr>
      <w:spacing w:before="0" w:after="120"/>
    </w:pPr>
    <w:rPr/>
  </w:style>
  <w:style w:type="paragraph" w:styleId="Caption">
    <w:name w:val="caption"/>
    <w:basedOn w:val="Standard"/>
    <w:qFormat/>
    <w:pPr>
      <w:suppressLineNumbers/>
      <w:spacing w:before="120" w:after="120"/>
    </w:pPr>
    <w:rPr>
      <w:i/>
      <w:iCs/>
    </w:rPr>
  </w:style>
  <w:style w:type="paragraph" w:styleId="Encabezado1" w:customStyle="1">
    <w:name w:val="Encabezado1"/>
    <w:basedOn w:val="Standard"/>
    <w:qFormat/>
    <w:pPr>
      <w:keepNext w:val="true"/>
      <w:spacing w:before="240" w:after="120"/>
    </w:pPr>
    <w:rPr>
      <w:rFonts w:ascii="Arial" w:hAnsi="Arial" w:eastAsia="Microsoft YaHei"/>
      <w:sz w:val="28"/>
      <w:szCs w:val="28"/>
    </w:rPr>
  </w:style>
  <w:style w:type="paragraph" w:styleId="ListParagraph">
    <w:name w:val="List Paragraph"/>
    <w:basedOn w:val="Standard"/>
    <w:qFormat/>
    <w:pPr>
      <w:ind w:left="720" w:hanging="0"/>
    </w:pPr>
    <w:rPr/>
  </w:style>
  <w:style w:type="paragraph" w:styleId="Cabecera">
    <w:name w:val="Header"/>
    <w:basedOn w:val="Standard"/>
    <w:pPr>
      <w:suppressLineNumbers/>
      <w:tabs>
        <w:tab w:val="center" w:pos="4819" w:leader="none"/>
        <w:tab w:val="right" w:pos="9638" w:leader="none"/>
      </w:tabs>
    </w:pPr>
    <w:rPr/>
  </w:style>
  <w:style w:type="paragraph" w:styleId="Piedepgina">
    <w:name w:val="Footer"/>
    <w:basedOn w:val="Standard"/>
    <w:pPr>
      <w:suppressLineNumbers/>
      <w:tabs>
        <w:tab w:val="center" w:pos="4819" w:leader="none"/>
        <w:tab w:val="right" w:pos="9638" w:leader="none"/>
      </w:tabs>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Application>LibreOffice/6.0.7.3$Linux_X86_64 LibreOffice_project/00m0$Build-3</Application>
  <Pages>2</Pages>
  <Words>956</Words>
  <Characters>5062</Characters>
  <CharactersWithSpaces>5968</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2019-06-05T07:53:00Z</dcterms:created>
  <dc:creator>Fundación Promaestro</dc:creator>
  <dc:description/>
  <dc:language>es-ES</dc:language>
  <cp:lastModifiedBy>luis </cp:lastModifiedBy>
  <dcterms:modified xsi:type="dcterms:W3CDTF">2019-10-14T22:20:48Z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